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8B9F54">
      <w:pPr>
        <w:pStyle w:val="3"/>
        <w:ind w:left="0" w:leftChars="0" w:firstLine="0" w:firstLineChars="0"/>
        <w:rPr>
          <w:rFonts w:hint="eastAsia" w:ascii="方正黑体简体" w:hAnsi="方正黑体简体" w:eastAsia="方正黑体简体" w:cs="方正黑体简体"/>
          <w:color w:val="auto"/>
          <w:kern w:val="2"/>
          <w:sz w:val="32"/>
          <w:szCs w:val="32"/>
          <w:highlight w:val="none"/>
          <w:lang w:val="en-US" w:eastAsia="zh-CN" w:bidi="ar-SA"/>
        </w:rPr>
      </w:pPr>
      <w:r>
        <w:rPr>
          <w:rFonts w:hint="eastAsia" w:ascii="方正黑体简体" w:hAnsi="方正黑体简体" w:eastAsia="方正黑体简体" w:cs="方正黑体简体"/>
          <w:color w:val="auto"/>
          <w:kern w:val="2"/>
          <w:sz w:val="32"/>
          <w:szCs w:val="32"/>
          <w:highlight w:val="none"/>
          <w:lang w:val="en-US" w:eastAsia="zh-CN" w:bidi="ar-SA"/>
        </w:rPr>
        <w:t>附件1</w:t>
      </w:r>
    </w:p>
    <w:p w14:paraId="28F13270">
      <w:pPr>
        <w:spacing w:line="700" w:lineRule="exact"/>
        <w:jc w:val="center"/>
        <w:rPr>
          <w:rFonts w:hint="default" w:ascii="Times New Roman" w:hAnsi="Times New Roman" w:eastAsia="方正小标宋简体"/>
          <w:sz w:val="44"/>
          <w:szCs w:val="44"/>
          <w:lang w:val="en-US" w:eastAsia="zh-CN"/>
        </w:rPr>
      </w:pPr>
      <w:r>
        <w:rPr>
          <w:rFonts w:hint="default" w:ascii="Times New Roman" w:hAnsi="Times New Roman" w:eastAsia="方正小标宋简体"/>
          <w:sz w:val="44"/>
          <w:szCs w:val="44"/>
          <w:lang w:val="en-US" w:eastAsia="zh-CN"/>
        </w:rPr>
        <w:t>选聘岗位信息表</w:t>
      </w:r>
    </w:p>
    <w:tbl>
      <w:tblPr>
        <w:tblStyle w:val="4"/>
        <w:tblW w:w="155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50"/>
        <w:gridCol w:w="1083"/>
        <w:gridCol w:w="4834"/>
        <w:gridCol w:w="766"/>
        <w:gridCol w:w="950"/>
        <w:gridCol w:w="2050"/>
        <w:gridCol w:w="4117"/>
        <w:gridCol w:w="1051"/>
      </w:tblGrid>
      <w:tr w14:paraId="117F4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650" w:type="dxa"/>
            <w:tcBorders>
              <w:top w:val="single" w:color="000000" w:sz="4" w:space="0"/>
              <w:left w:val="single" w:color="000000" w:sz="4" w:space="0"/>
              <w:bottom w:val="single" w:color="000000" w:sz="4" w:space="0"/>
              <w:right w:val="single" w:color="000000" w:sz="4" w:space="0"/>
            </w:tcBorders>
            <w:noWrap/>
            <w:vAlign w:val="center"/>
          </w:tcPr>
          <w:p w14:paraId="53ED334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ascii="微软雅黑" w:hAnsi="微软雅黑" w:eastAsia="微软雅黑" w:cs="微软雅黑"/>
                <w:b/>
                <w:bCs/>
                <w:i w:val="0"/>
                <w:iCs w:val="0"/>
                <w:color w:val="000000"/>
                <w:sz w:val="20"/>
                <w:szCs w:val="20"/>
                <w:u w:val="none"/>
              </w:rPr>
            </w:pPr>
            <w:r>
              <w:rPr>
                <w:rFonts w:hint="default" w:ascii="微软雅黑" w:hAnsi="微软雅黑" w:eastAsia="微软雅黑" w:cs="微软雅黑"/>
                <w:b/>
                <w:bCs/>
                <w:i w:val="0"/>
                <w:iCs w:val="0"/>
                <w:color w:val="000000"/>
                <w:kern w:val="0"/>
                <w:sz w:val="20"/>
                <w:szCs w:val="20"/>
                <w:u w:val="none"/>
                <w:lang w:val="en-US" w:eastAsia="zh-CN" w:bidi="ar"/>
              </w:rPr>
              <w:t>序号</w:t>
            </w:r>
          </w:p>
        </w:tc>
        <w:tc>
          <w:tcPr>
            <w:tcW w:w="1083" w:type="dxa"/>
            <w:tcBorders>
              <w:top w:val="single" w:color="000000" w:sz="4" w:space="0"/>
              <w:left w:val="single" w:color="000000" w:sz="4" w:space="0"/>
              <w:bottom w:val="single" w:color="000000" w:sz="4" w:space="0"/>
              <w:right w:val="single" w:color="000000" w:sz="4" w:space="0"/>
            </w:tcBorders>
            <w:noWrap/>
            <w:vAlign w:val="center"/>
          </w:tcPr>
          <w:p w14:paraId="78B015F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b/>
                <w:bCs/>
                <w:i w:val="0"/>
                <w:iCs w:val="0"/>
                <w:color w:val="000000"/>
                <w:sz w:val="20"/>
                <w:szCs w:val="20"/>
                <w:u w:val="none"/>
              </w:rPr>
            </w:pPr>
            <w:r>
              <w:rPr>
                <w:rFonts w:hint="default" w:ascii="微软雅黑" w:hAnsi="微软雅黑" w:eastAsia="微软雅黑" w:cs="微软雅黑"/>
                <w:b/>
                <w:bCs/>
                <w:i w:val="0"/>
                <w:iCs w:val="0"/>
                <w:color w:val="000000"/>
                <w:kern w:val="0"/>
                <w:sz w:val="20"/>
                <w:szCs w:val="20"/>
                <w:u w:val="none"/>
                <w:lang w:val="en-US" w:eastAsia="zh-CN" w:bidi="ar"/>
              </w:rPr>
              <w:t>公司</w:t>
            </w:r>
          </w:p>
        </w:tc>
        <w:tc>
          <w:tcPr>
            <w:tcW w:w="4834" w:type="dxa"/>
            <w:tcBorders>
              <w:top w:val="single" w:color="000000" w:sz="4" w:space="0"/>
              <w:left w:val="single" w:color="000000" w:sz="4" w:space="0"/>
              <w:bottom w:val="single" w:color="000000" w:sz="4" w:space="0"/>
              <w:right w:val="single" w:color="000000" w:sz="4" w:space="0"/>
            </w:tcBorders>
            <w:noWrap/>
            <w:vAlign w:val="center"/>
          </w:tcPr>
          <w:p w14:paraId="15191BC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b/>
                <w:bCs/>
                <w:i w:val="0"/>
                <w:iCs w:val="0"/>
                <w:color w:val="000000"/>
                <w:sz w:val="20"/>
                <w:szCs w:val="20"/>
                <w:u w:val="none"/>
              </w:rPr>
            </w:pPr>
            <w:r>
              <w:rPr>
                <w:rFonts w:hint="default" w:ascii="微软雅黑" w:hAnsi="微软雅黑" w:eastAsia="微软雅黑" w:cs="微软雅黑"/>
                <w:b/>
                <w:bCs/>
                <w:i w:val="0"/>
                <w:iCs w:val="0"/>
                <w:color w:val="000000"/>
                <w:kern w:val="0"/>
                <w:sz w:val="20"/>
                <w:szCs w:val="20"/>
                <w:u w:val="none"/>
                <w:lang w:val="en-US" w:eastAsia="zh-CN" w:bidi="ar"/>
              </w:rPr>
              <w:t>公司简介</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58499B0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b/>
                <w:bCs/>
                <w:i w:val="0"/>
                <w:iCs w:val="0"/>
                <w:color w:val="000000"/>
                <w:sz w:val="20"/>
                <w:szCs w:val="20"/>
                <w:u w:val="none"/>
              </w:rPr>
            </w:pPr>
            <w:r>
              <w:rPr>
                <w:rFonts w:hint="default" w:ascii="微软雅黑" w:hAnsi="微软雅黑" w:eastAsia="微软雅黑" w:cs="微软雅黑"/>
                <w:b/>
                <w:bCs/>
                <w:i w:val="0"/>
                <w:iCs w:val="0"/>
                <w:color w:val="000000"/>
                <w:kern w:val="0"/>
                <w:sz w:val="20"/>
                <w:szCs w:val="20"/>
                <w:u w:val="none"/>
                <w:lang w:val="en-US" w:eastAsia="zh-CN" w:bidi="ar"/>
              </w:rPr>
              <w:t>岗位</w:t>
            </w:r>
          </w:p>
        </w:tc>
        <w:tc>
          <w:tcPr>
            <w:tcW w:w="950" w:type="dxa"/>
            <w:tcBorders>
              <w:top w:val="single" w:color="000000" w:sz="4" w:space="0"/>
              <w:left w:val="single" w:color="000000" w:sz="4" w:space="0"/>
              <w:bottom w:val="single" w:color="000000" w:sz="4" w:space="0"/>
              <w:right w:val="single" w:color="000000" w:sz="4" w:space="0"/>
            </w:tcBorders>
            <w:noWrap/>
            <w:vAlign w:val="center"/>
          </w:tcPr>
          <w:p w14:paraId="4D70CE3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b/>
                <w:bCs/>
                <w:i w:val="0"/>
                <w:iCs w:val="0"/>
                <w:color w:val="000000"/>
                <w:sz w:val="20"/>
                <w:szCs w:val="20"/>
                <w:u w:val="none"/>
              </w:rPr>
            </w:pPr>
            <w:r>
              <w:rPr>
                <w:rFonts w:hint="default" w:ascii="微软雅黑" w:hAnsi="微软雅黑" w:eastAsia="微软雅黑" w:cs="微软雅黑"/>
                <w:b/>
                <w:bCs/>
                <w:i w:val="0"/>
                <w:iCs w:val="0"/>
                <w:color w:val="000000"/>
                <w:kern w:val="0"/>
                <w:sz w:val="20"/>
                <w:szCs w:val="20"/>
                <w:u w:val="none"/>
                <w:lang w:val="en-US" w:eastAsia="zh-CN" w:bidi="ar"/>
              </w:rPr>
              <w:t>选聘人数</w:t>
            </w:r>
          </w:p>
        </w:tc>
        <w:tc>
          <w:tcPr>
            <w:tcW w:w="2050" w:type="dxa"/>
            <w:tcBorders>
              <w:top w:val="single" w:color="000000" w:sz="4" w:space="0"/>
              <w:left w:val="single" w:color="000000" w:sz="4" w:space="0"/>
              <w:bottom w:val="single" w:color="000000" w:sz="4" w:space="0"/>
              <w:right w:val="single" w:color="000000" w:sz="4" w:space="0"/>
            </w:tcBorders>
            <w:noWrap/>
            <w:vAlign w:val="center"/>
          </w:tcPr>
          <w:p w14:paraId="685A9F0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b/>
                <w:bCs/>
                <w:i w:val="0"/>
                <w:iCs w:val="0"/>
                <w:color w:val="000000"/>
                <w:sz w:val="20"/>
                <w:szCs w:val="20"/>
                <w:u w:val="none"/>
              </w:rPr>
            </w:pPr>
            <w:r>
              <w:rPr>
                <w:rFonts w:hint="default" w:ascii="微软雅黑" w:hAnsi="微软雅黑" w:eastAsia="微软雅黑" w:cs="微软雅黑"/>
                <w:b/>
                <w:bCs/>
                <w:i w:val="0"/>
                <w:iCs w:val="0"/>
                <w:color w:val="000000"/>
                <w:kern w:val="0"/>
                <w:sz w:val="20"/>
                <w:szCs w:val="20"/>
                <w:u w:val="none"/>
                <w:lang w:val="en-US" w:eastAsia="zh-CN" w:bidi="ar"/>
              </w:rPr>
              <w:t>学历学位及专业要求</w:t>
            </w:r>
          </w:p>
        </w:tc>
        <w:tc>
          <w:tcPr>
            <w:tcW w:w="4117" w:type="dxa"/>
            <w:tcBorders>
              <w:top w:val="single" w:color="000000" w:sz="4" w:space="0"/>
              <w:left w:val="single" w:color="000000" w:sz="4" w:space="0"/>
              <w:bottom w:val="single" w:color="000000" w:sz="4" w:space="0"/>
              <w:right w:val="single" w:color="000000" w:sz="4" w:space="0"/>
            </w:tcBorders>
            <w:noWrap/>
            <w:vAlign w:val="center"/>
          </w:tcPr>
          <w:p w14:paraId="48970BF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b/>
                <w:bCs/>
                <w:i w:val="0"/>
                <w:iCs w:val="0"/>
                <w:color w:val="000000"/>
                <w:sz w:val="20"/>
                <w:szCs w:val="20"/>
                <w:u w:val="none"/>
              </w:rPr>
            </w:pPr>
            <w:r>
              <w:rPr>
                <w:rFonts w:hint="default" w:ascii="微软雅黑" w:hAnsi="微软雅黑" w:eastAsia="微软雅黑" w:cs="微软雅黑"/>
                <w:b/>
                <w:bCs/>
                <w:i w:val="0"/>
                <w:iCs w:val="0"/>
                <w:color w:val="000000"/>
                <w:kern w:val="0"/>
                <w:sz w:val="20"/>
                <w:szCs w:val="20"/>
                <w:u w:val="none"/>
                <w:lang w:val="en-US" w:eastAsia="zh-CN" w:bidi="ar"/>
              </w:rPr>
              <w:t>专业职称及工作经历等相关要求</w:t>
            </w:r>
          </w:p>
        </w:tc>
        <w:tc>
          <w:tcPr>
            <w:tcW w:w="1051" w:type="dxa"/>
            <w:tcBorders>
              <w:top w:val="single" w:color="000000" w:sz="4" w:space="0"/>
              <w:left w:val="single" w:color="000000" w:sz="4" w:space="0"/>
              <w:bottom w:val="single" w:color="000000" w:sz="4" w:space="0"/>
              <w:right w:val="single" w:color="000000" w:sz="4" w:space="0"/>
            </w:tcBorders>
            <w:noWrap/>
            <w:vAlign w:val="center"/>
          </w:tcPr>
          <w:p w14:paraId="6097CFC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b/>
                <w:bCs/>
                <w:i w:val="0"/>
                <w:iCs w:val="0"/>
                <w:color w:val="000000"/>
                <w:sz w:val="20"/>
                <w:szCs w:val="20"/>
                <w:u w:val="none"/>
              </w:rPr>
            </w:pPr>
            <w:r>
              <w:rPr>
                <w:rFonts w:hint="default" w:ascii="微软雅黑" w:hAnsi="微软雅黑" w:eastAsia="微软雅黑" w:cs="微软雅黑"/>
                <w:b/>
                <w:bCs/>
                <w:i w:val="0"/>
                <w:iCs w:val="0"/>
                <w:color w:val="000000"/>
                <w:kern w:val="0"/>
                <w:sz w:val="20"/>
                <w:szCs w:val="20"/>
                <w:u w:val="none"/>
                <w:lang w:val="en-US" w:eastAsia="zh-CN" w:bidi="ar"/>
              </w:rPr>
              <w:t>年薪范围</w:t>
            </w:r>
          </w:p>
        </w:tc>
      </w:tr>
      <w:tr w14:paraId="4865B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50" w:type="dxa"/>
            <w:tcBorders>
              <w:top w:val="single" w:color="000000" w:sz="4" w:space="0"/>
              <w:left w:val="single" w:color="000000" w:sz="4" w:space="0"/>
              <w:bottom w:val="single" w:color="000000" w:sz="4" w:space="0"/>
              <w:right w:val="single" w:color="000000" w:sz="4" w:space="0"/>
            </w:tcBorders>
            <w:noWrap/>
            <w:vAlign w:val="center"/>
          </w:tcPr>
          <w:p w14:paraId="60EAE68E">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1</w:t>
            </w:r>
          </w:p>
        </w:tc>
        <w:tc>
          <w:tcPr>
            <w:tcW w:w="1083" w:type="dxa"/>
            <w:vMerge w:val="restart"/>
            <w:tcBorders>
              <w:top w:val="single" w:color="000000" w:sz="4" w:space="0"/>
              <w:left w:val="single" w:color="000000" w:sz="4" w:space="0"/>
              <w:bottom w:val="single" w:color="000000" w:sz="4" w:space="0"/>
              <w:right w:val="single" w:color="000000" w:sz="4" w:space="0"/>
            </w:tcBorders>
            <w:noWrap w:val="0"/>
            <w:vAlign w:val="center"/>
          </w:tcPr>
          <w:p w14:paraId="49DCD79E">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资阳产业投资集团有限公司</w:t>
            </w:r>
          </w:p>
        </w:tc>
        <w:tc>
          <w:tcPr>
            <w:tcW w:w="4834" w:type="dxa"/>
            <w:vMerge w:val="restart"/>
            <w:tcBorders>
              <w:top w:val="single" w:color="000000" w:sz="4" w:space="0"/>
              <w:left w:val="single" w:color="000000" w:sz="4" w:space="0"/>
              <w:bottom w:val="single" w:color="000000" w:sz="4" w:space="0"/>
              <w:right w:val="single" w:color="000000" w:sz="4" w:space="0"/>
            </w:tcBorders>
            <w:noWrap w:val="0"/>
            <w:vAlign w:val="center"/>
          </w:tcPr>
          <w:p w14:paraId="51C4024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sz w:val="20"/>
                <w:szCs w:val="20"/>
                <w:u w:val="none"/>
              </w:rPr>
              <w:t>资阳产业投资集团有限公司于2021年10月完成工商注册登记，取得营业执照，注册资本20亿元，主体信用评级为AA+。公司业务版图涵盖基金管理、金融服务、产业投资、能源环保、商贸物流、股权投资等多个领域，通过旗下专业子公司构建协同发展体系。 公司坚持以习近平新时代中国特色社会主义思想为指导，认真贯彻落实中省市决策部署，构建以“巩固优势、拓展增量、提质增效”为核心的“基金牵引+产业培育+生态协同”发展新格局。以打造资阳市规模最大的产业投资集团为目标，重点承担基金投资、产业投资、产业培育等核心任务，聚焦新能源、新科技、新消费等关键领域，积极布局先进制造业与战略性新兴产业，助力区域产业升级。</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6E6CDE6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副总经理</w:t>
            </w:r>
          </w:p>
        </w:tc>
        <w:tc>
          <w:tcPr>
            <w:tcW w:w="950" w:type="dxa"/>
            <w:tcBorders>
              <w:top w:val="single" w:color="000000" w:sz="4" w:space="0"/>
              <w:left w:val="single" w:color="000000" w:sz="4" w:space="0"/>
              <w:bottom w:val="single" w:color="000000" w:sz="4" w:space="0"/>
              <w:right w:val="single" w:color="000000" w:sz="4" w:space="0"/>
            </w:tcBorders>
            <w:noWrap/>
            <w:vAlign w:val="center"/>
          </w:tcPr>
          <w:p w14:paraId="635640D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1</w:t>
            </w:r>
          </w:p>
        </w:tc>
        <w:tc>
          <w:tcPr>
            <w:tcW w:w="2050" w:type="dxa"/>
            <w:tcBorders>
              <w:top w:val="single" w:color="000000" w:sz="4" w:space="0"/>
              <w:left w:val="single" w:color="000000" w:sz="4" w:space="0"/>
              <w:bottom w:val="single" w:color="000000" w:sz="4" w:space="0"/>
              <w:right w:val="single" w:color="000000" w:sz="4" w:space="0"/>
            </w:tcBorders>
            <w:noWrap w:val="0"/>
            <w:vAlign w:val="center"/>
          </w:tcPr>
          <w:p w14:paraId="64AE140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本科及以上学历并取得相应学位</w:t>
            </w:r>
          </w:p>
        </w:tc>
        <w:tc>
          <w:tcPr>
            <w:tcW w:w="4117" w:type="dxa"/>
            <w:tcBorders>
              <w:top w:val="single" w:color="000000" w:sz="4" w:space="0"/>
              <w:left w:val="single" w:color="000000" w:sz="4" w:space="0"/>
              <w:bottom w:val="single" w:color="000000" w:sz="4" w:space="0"/>
              <w:right w:val="single" w:color="000000" w:sz="4" w:space="0"/>
            </w:tcBorders>
            <w:noWrap w:val="0"/>
            <w:vAlign w:val="center"/>
          </w:tcPr>
          <w:p w14:paraId="51F1C98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1.45周岁（含）以下（截止发布公告之日）；</w:t>
            </w:r>
            <w:r>
              <w:rPr>
                <w:rFonts w:hint="default" w:ascii="微软雅黑" w:hAnsi="微软雅黑" w:eastAsia="微软雅黑" w:cs="微软雅黑"/>
                <w:i w:val="0"/>
                <w:iCs w:val="0"/>
                <w:color w:val="000000"/>
                <w:kern w:val="0"/>
                <w:sz w:val="20"/>
                <w:szCs w:val="20"/>
                <w:u w:val="none"/>
                <w:lang w:val="en-US" w:eastAsia="zh-CN" w:bidi="ar"/>
              </w:rPr>
              <w:br w:type="textWrapping"/>
            </w:r>
            <w:r>
              <w:rPr>
                <w:rFonts w:hint="default" w:ascii="微软雅黑" w:hAnsi="微软雅黑" w:eastAsia="微软雅黑" w:cs="微软雅黑"/>
                <w:i w:val="0"/>
                <w:iCs w:val="0"/>
                <w:color w:val="000000"/>
                <w:kern w:val="0"/>
                <w:sz w:val="20"/>
                <w:szCs w:val="20"/>
                <w:u w:val="none"/>
                <w:lang w:val="en-US" w:eastAsia="zh-CN" w:bidi="ar"/>
              </w:rPr>
              <w:t>2.具有8年以上企业工作经历、5年以上制造企业管理层工作经历，具有较强的企业市场化运营能力。具有金融、投行、电气机械和器材制造业、电子及通信设备制造、航空航天、氢能装备等行业领域工作经验的优先；</w:t>
            </w:r>
            <w:r>
              <w:rPr>
                <w:rFonts w:hint="default" w:ascii="微软雅黑" w:hAnsi="微软雅黑" w:eastAsia="微软雅黑" w:cs="微软雅黑"/>
                <w:i w:val="0"/>
                <w:iCs w:val="0"/>
                <w:color w:val="000000"/>
                <w:kern w:val="0"/>
                <w:sz w:val="20"/>
                <w:szCs w:val="20"/>
                <w:u w:val="none"/>
                <w:lang w:val="en-US" w:eastAsia="zh-CN" w:bidi="ar"/>
              </w:rPr>
              <w:br w:type="textWrapping"/>
            </w:r>
            <w:r>
              <w:rPr>
                <w:rFonts w:hint="default" w:ascii="微软雅黑" w:hAnsi="微软雅黑" w:eastAsia="微软雅黑" w:cs="微软雅黑"/>
                <w:i w:val="0"/>
                <w:iCs w:val="0"/>
                <w:color w:val="000000"/>
                <w:kern w:val="0"/>
                <w:sz w:val="20"/>
                <w:szCs w:val="20"/>
                <w:u w:val="none"/>
                <w:lang w:val="en-US" w:eastAsia="zh-CN" w:bidi="ar"/>
              </w:rPr>
              <w:t>3.机关事业人员应当符合选任县处级领导干部基本任职条件，同时须在经济部门任职3年以上，具有较强的资本运作、产业研究能力。</w:t>
            </w:r>
          </w:p>
        </w:tc>
        <w:tc>
          <w:tcPr>
            <w:tcW w:w="1051" w:type="dxa"/>
            <w:tcBorders>
              <w:top w:val="single" w:color="000000" w:sz="4" w:space="0"/>
              <w:left w:val="single" w:color="000000" w:sz="4" w:space="0"/>
              <w:bottom w:val="single" w:color="000000" w:sz="4" w:space="0"/>
              <w:right w:val="single" w:color="000000" w:sz="4" w:space="0"/>
            </w:tcBorders>
            <w:noWrap/>
            <w:vAlign w:val="center"/>
          </w:tcPr>
          <w:p w14:paraId="1E995332">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30-40万</w:t>
            </w:r>
          </w:p>
        </w:tc>
      </w:tr>
      <w:tr w14:paraId="20E46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8" w:hRule="atLeast"/>
          <w:jc w:val="center"/>
        </w:trPr>
        <w:tc>
          <w:tcPr>
            <w:tcW w:w="650" w:type="dxa"/>
            <w:tcBorders>
              <w:top w:val="single" w:color="000000" w:sz="4" w:space="0"/>
              <w:left w:val="single" w:color="000000" w:sz="4" w:space="0"/>
              <w:bottom w:val="single" w:color="000000" w:sz="4" w:space="0"/>
              <w:right w:val="single" w:color="000000" w:sz="4" w:space="0"/>
            </w:tcBorders>
            <w:noWrap/>
            <w:vAlign w:val="center"/>
          </w:tcPr>
          <w:p w14:paraId="6482210B">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2</w:t>
            </w: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695B59">
            <w:pPr>
              <w:jc w:val="center"/>
              <w:rPr>
                <w:rFonts w:hint="default" w:ascii="微软雅黑" w:hAnsi="微软雅黑" w:eastAsia="微软雅黑" w:cs="微软雅黑"/>
                <w:i w:val="0"/>
                <w:iCs w:val="0"/>
                <w:color w:val="000000"/>
                <w:sz w:val="20"/>
                <w:szCs w:val="20"/>
                <w:u w:val="none"/>
              </w:rPr>
            </w:pPr>
          </w:p>
        </w:tc>
        <w:tc>
          <w:tcPr>
            <w:tcW w:w="483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61C358">
            <w:pPr>
              <w:keepNext w:val="0"/>
              <w:keepLines w:val="0"/>
              <w:pageBreakBefore w:val="0"/>
              <w:widowControl/>
              <w:kinsoku/>
              <w:wordWrap/>
              <w:overflowPunct/>
              <w:topLinePunct w:val="0"/>
              <w:autoSpaceDE/>
              <w:autoSpaceDN/>
              <w:bidi w:val="0"/>
              <w:adjustRightInd/>
              <w:snapToGrid/>
              <w:spacing w:line="300" w:lineRule="exact"/>
              <w:jc w:val="left"/>
              <w:rPr>
                <w:rFonts w:hint="default" w:ascii="微软雅黑" w:hAnsi="微软雅黑" w:eastAsia="微软雅黑" w:cs="微软雅黑"/>
                <w:i w:val="0"/>
                <w:iCs w:val="0"/>
                <w:color w:val="000000"/>
                <w:sz w:val="20"/>
                <w:szCs w:val="20"/>
                <w:u w:val="none"/>
              </w:rPr>
            </w:pP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2035F9A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财务总监</w:t>
            </w:r>
          </w:p>
        </w:tc>
        <w:tc>
          <w:tcPr>
            <w:tcW w:w="950" w:type="dxa"/>
            <w:tcBorders>
              <w:top w:val="single" w:color="000000" w:sz="4" w:space="0"/>
              <w:left w:val="single" w:color="000000" w:sz="4" w:space="0"/>
              <w:bottom w:val="single" w:color="000000" w:sz="4" w:space="0"/>
              <w:right w:val="single" w:color="000000" w:sz="4" w:space="0"/>
            </w:tcBorders>
            <w:noWrap/>
            <w:vAlign w:val="center"/>
          </w:tcPr>
          <w:p w14:paraId="329E610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1</w:t>
            </w:r>
          </w:p>
        </w:tc>
        <w:tc>
          <w:tcPr>
            <w:tcW w:w="2050" w:type="dxa"/>
            <w:tcBorders>
              <w:top w:val="single" w:color="000000" w:sz="4" w:space="0"/>
              <w:left w:val="single" w:color="000000" w:sz="4" w:space="0"/>
              <w:bottom w:val="single" w:color="000000" w:sz="4" w:space="0"/>
              <w:right w:val="single" w:color="000000" w:sz="4" w:space="0"/>
            </w:tcBorders>
            <w:noWrap w:val="0"/>
            <w:vAlign w:val="center"/>
          </w:tcPr>
          <w:p w14:paraId="6F07E1B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本科及以上学历并取得相应学位，财务、会计、</w:t>
            </w:r>
            <w:r>
              <w:rPr>
                <w:rFonts w:hint="eastAsia" w:ascii="微软雅黑" w:hAnsi="微软雅黑" w:eastAsia="微软雅黑" w:cs="微软雅黑"/>
                <w:i w:val="0"/>
                <w:iCs w:val="0"/>
                <w:color w:val="000000"/>
                <w:kern w:val="0"/>
                <w:sz w:val="20"/>
                <w:szCs w:val="20"/>
                <w:u w:val="none"/>
                <w:lang w:val="en-US" w:eastAsia="zh-CN" w:bidi="ar"/>
              </w:rPr>
              <w:t>审计、</w:t>
            </w:r>
            <w:r>
              <w:rPr>
                <w:rFonts w:hint="default" w:ascii="微软雅黑" w:hAnsi="微软雅黑" w:eastAsia="微软雅黑" w:cs="微软雅黑"/>
                <w:i w:val="0"/>
                <w:iCs w:val="0"/>
                <w:color w:val="000000"/>
                <w:kern w:val="0"/>
                <w:sz w:val="20"/>
                <w:szCs w:val="20"/>
                <w:u w:val="none"/>
                <w:lang w:val="en-US" w:eastAsia="zh-CN" w:bidi="ar"/>
              </w:rPr>
              <w:t>金融等相关专业</w:t>
            </w:r>
          </w:p>
        </w:tc>
        <w:tc>
          <w:tcPr>
            <w:tcW w:w="4117" w:type="dxa"/>
            <w:tcBorders>
              <w:top w:val="single" w:color="000000" w:sz="4" w:space="0"/>
              <w:left w:val="single" w:color="000000" w:sz="4" w:space="0"/>
              <w:bottom w:val="single" w:color="000000" w:sz="4" w:space="0"/>
              <w:right w:val="single" w:color="000000" w:sz="4" w:space="0"/>
            </w:tcBorders>
            <w:noWrap w:val="0"/>
            <w:vAlign w:val="center"/>
          </w:tcPr>
          <w:p w14:paraId="7DE65AB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1.45周岁（含）以下（截止发布公告之日）；</w:t>
            </w:r>
            <w:r>
              <w:rPr>
                <w:rFonts w:hint="default" w:ascii="微软雅黑" w:hAnsi="微软雅黑" w:eastAsia="微软雅黑" w:cs="微软雅黑"/>
                <w:i w:val="0"/>
                <w:iCs w:val="0"/>
                <w:color w:val="000000"/>
                <w:kern w:val="0"/>
                <w:sz w:val="20"/>
                <w:szCs w:val="20"/>
                <w:u w:val="none"/>
                <w:lang w:val="en-US" w:eastAsia="zh-CN" w:bidi="ar"/>
              </w:rPr>
              <w:br w:type="textWrapping"/>
            </w:r>
            <w:r>
              <w:rPr>
                <w:rFonts w:hint="default" w:ascii="微软雅黑" w:hAnsi="微软雅黑" w:eastAsia="微软雅黑" w:cs="微软雅黑"/>
                <w:i w:val="0"/>
                <w:iCs w:val="0"/>
                <w:color w:val="000000"/>
                <w:kern w:val="0"/>
                <w:sz w:val="20"/>
                <w:szCs w:val="20"/>
                <w:u w:val="none"/>
                <w:lang w:val="en-US" w:eastAsia="zh-CN" w:bidi="ar"/>
              </w:rPr>
              <w:t>2.具有8年以上企业工作经历、5年以上财务工作经历，具有注册会计师职业资格或高级会计师、高级审计师等经济管理类高级职称，有资金筹划、融资及合规审计等工作经验的优先；</w:t>
            </w:r>
            <w:r>
              <w:rPr>
                <w:rFonts w:hint="default" w:ascii="微软雅黑" w:hAnsi="微软雅黑" w:eastAsia="微软雅黑" w:cs="微软雅黑"/>
                <w:i w:val="0"/>
                <w:iCs w:val="0"/>
                <w:color w:val="000000"/>
                <w:kern w:val="0"/>
                <w:sz w:val="20"/>
                <w:szCs w:val="20"/>
                <w:u w:val="none"/>
                <w:lang w:val="en-US" w:eastAsia="zh-CN" w:bidi="ar"/>
              </w:rPr>
              <w:br w:type="textWrapping"/>
            </w:r>
            <w:r>
              <w:rPr>
                <w:rFonts w:hint="default" w:ascii="微软雅黑" w:hAnsi="微软雅黑" w:eastAsia="微软雅黑" w:cs="微软雅黑"/>
                <w:i w:val="0"/>
                <w:iCs w:val="0"/>
                <w:color w:val="000000"/>
                <w:kern w:val="0"/>
                <w:sz w:val="20"/>
                <w:szCs w:val="20"/>
                <w:u w:val="none"/>
                <w:lang w:val="en-US" w:eastAsia="zh-CN" w:bidi="ar"/>
              </w:rPr>
              <w:t>3.机关事业人员应当符合选任县处级领导干部基本任职条件，同时须在经济部门任职3年以上，具有较强的财务管理、合规风控能力。</w:t>
            </w:r>
          </w:p>
        </w:tc>
        <w:tc>
          <w:tcPr>
            <w:tcW w:w="1051" w:type="dxa"/>
            <w:tcBorders>
              <w:top w:val="single" w:color="000000" w:sz="4" w:space="0"/>
              <w:left w:val="single" w:color="000000" w:sz="4" w:space="0"/>
              <w:bottom w:val="single" w:color="000000" w:sz="4" w:space="0"/>
              <w:right w:val="single" w:color="000000" w:sz="4" w:space="0"/>
            </w:tcBorders>
            <w:noWrap/>
            <w:vAlign w:val="center"/>
          </w:tcPr>
          <w:p w14:paraId="2C42E801">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30-40万</w:t>
            </w:r>
          </w:p>
        </w:tc>
      </w:tr>
      <w:tr w14:paraId="500BD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50" w:type="dxa"/>
            <w:tcBorders>
              <w:top w:val="single" w:color="000000" w:sz="4" w:space="0"/>
              <w:left w:val="single" w:color="000000" w:sz="4" w:space="0"/>
              <w:bottom w:val="single" w:color="000000" w:sz="4" w:space="0"/>
              <w:right w:val="single" w:color="000000" w:sz="4" w:space="0"/>
            </w:tcBorders>
            <w:noWrap/>
            <w:vAlign w:val="center"/>
          </w:tcPr>
          <w:p w14:paraId="74CC85B0">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3</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2F97BFBF">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资阳高新投资集团有限公司</w:t>
            </w:r>
          </w:p>
        </w:tc>
        <w:tc>
          <w:tcPr>
            <w:tcW w:w="4834" w:type="dxa"/>
            <w:tcBorders>
              <w:top w:val="single" w:color="000000" w:sz="4" w:space="0"/>
              <w:left w:val="single" w:color="000000" w:sz="4" w:space="0"/>
              <w:bottom w:val="single" w:color="000000" w:sz="4" w:space="0"/>
              <w:right w:val="single" w:color="000000" w:sz="4" w:space="0"/>
            </w:tcBorders>
            <w:noWrap w:val="0"/>
            <w:vAlign w:val="center"/>
          </w:tcPr>
          <w:p w14:paraId="3642640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资阳高新投资集团有限公司成立于2009年，前身为资阳开发区投资有限公司。2021年重组更名为资阳高投集团，注册资本11亿元，资产规模超260亿元，现拥有全资及控股子公司10家、参股公司12家、职工200余人，主要业务涵盖工程建设、园区运营、外贸物流、产业服务等领域，是一家集投资、建设、运营于一体的市属重点国有企业。资阳高投集团将以高新技术为驱动，聚焦口腔、氢能两大实体产业，大力实施"两核、一中心"发展战略，致力成为产业园区投资建设运营综合服务商。</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790AD46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财务总监</w:t>
            </w:r>
          </w:p>
        </w:tc>
        <w:tc>
          <w:tcPr>
            <w:tcW w:w="950" w:type="dxa"/>
            <w:tcBorders>
              <w:top w:val="single" w:color="000000" w:sz="4" w:space="0"/>
              <w:left w:val="single" w:color="000000" w:sz="4" w:space="0"/>
              <w:bottom w:val="single" w:color="000000" w:sz="4" w:space="0"/>
              <w:right w:val="single" w:color="000000" w:sz="4" w:space="0"/>
            </w:tcBorders>
            <w:noWrap/>
            <w:vAlign w:val="center"/>
          </w:tcPr>
          <w:p w14:paraId="3B86285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1</w:t>
            </w:r>
          </w:p>
        </w:tc>
        <w:tc>
          <w:tcPr>
            <w:tcW w:w="2050" w:type="dxa"/>
            <w:tcBorders>
              <w:top w:val="single" w:color="000000" w:sz="4" w:space="0"/>
              <w:left w:val="single" w:color="000000" w:sz="4" w:space="0"/>
              <w:bottom w:val="single" w:color="000000" w:sz="4" w:space="0"/>
              <w:right w:val="single" w:color="000000" w:sz="4" w:space="0"/>
            </w:tcBorders>
            <w:noWrap w:val="0"/>
            <w:vAlign w:val="center"/>
          </w:tcPr>
          <w:p w14:paraId="5CD11E74">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本科及以上学历并取得相应学位，财务、会计、</w:t>
            </w:r>
            <w:r>
              <w:rPr>
                <w:rFonts w:hint="eastAsia" w:ascii="微软雅黑" w:hAnsi="微软雅黑" w:eastAsia="微软雅黑" w:cs="微软雅黑"/>
                <w:i w:val="0"/>
                <w:iCs w:val="0"/>
                <w:color w:val="000000"/>
                <w:kern w:val="0"/>
                <w:sz w:val="20"/>
                <w:szCs w:val="20"/>
                <w:u w:val="none"/>
                <w:lang w:val="en-US" w:eastAsia="zh-CN" w:bidi="ar"/>
              </w:rPr>
              <w:t>审计、</w:t>
            </w:r>
            <w:r>
              <w:rPr>
                <w:rFonts w:hint="default" w:ascii="微软雅黑" w:hAnsi="微软雅黑" w:eastAsia="微软雅黑" w:cs="微软雅黑"/>
                <w:i w:val="0"/>
                <w:iCs w:val="0"/>
                <w:color w:val="000000"/>
                <w:kern w:val="0"/>
                <w:sz w:val="20"/>
                <w:szCs w:val="20"/>
                <w:u w:val="none"/>
                <w:lang w:val="en-US" w:eastAsia="zh-CN" w:bidi="ar"/>
              </w:rPr>
              <w:t>金融等相关专业</w:t>
            </w:r>
          </w:p>
        </w:tc>
        <w:tc>
          <w:tcPr>
            <w:tcW w:w="4117" w:type="dxa"/>
            <w:tcBorders>
              <w:top w:val="single" w:color="000000" w:sz="4" w:space="0"/>
              <w:left w:val="single" w:color="000000" w:sz="4" w:space="0"/>
              <w:bottom w:val="single" w:color="000000" w:sz="4" w:space="0"/>
              <w:right w:val="single" w:color="000000" w:sz="4" w:space="0"/>
            </w:tcBorders>
            <w:noWrap w:val="0"/>
            <w:vAlign w:val="center"/>
          </w:tcPr>
          <w:p w14:paraId="3CFA8DB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1.45周岁（含）以下（截止发布公告之日）；</w:t>
            </w:r>
            <w:r>
              <w:rPr>
                <w:rFonts w:hint="default" w:ascii="微软雅黑" w:hAnsi="微软雅黑" w:eastAsia="微软雅黑" w:cs="微软雅黑"/>
                <w:i w:val="0"/>
                <w:iCs w:val="0"/>
                <w:color w:val="000000"/>
                <w:kern w:val="0"/>
                <w:sz w:val="20"/>
                <w:szCs w:val="20"/>
                <w:u w:val="none"/>
                <w:lang w:val="en-US" w:eastAsia="zh-CN" w:bidi="ar"/>
              </w:rPr>
              <w:br w:type="textWrapping"/>
            </w:r>
            <w:r>
              <w:rPr>
                <w:rFonts w:hint="default" w:ascii="微软雅黑" w:hAnsi="微软雅黑" w:eastAsia="微软雅黑" w:cs="微软雅黑"/>
                <w:i w:val="0"/>
                <w:iCs w:val="0"/>
                <w:color w:val="000000"/>
                <w:kern w:val="0"/>
                <w:sz w:val="20"/>
                <w:szCs w:val="20"/>
                <w:u w:val="none"/>
                <w:lang w:val="en-US" w:eastAsia="zh-CN" w:bidi="ar"/>
              </w:rPr>
              <w:t>2.具有8年以上企业工作经历、5年以上财务工作经历，具有注册会计师职业资格或高级会计师、高级审计师等经济管理类高级职称，有资金筹划、融资及合规审计等工作经验的优先；</w:t>
            </w:r>
            <w:r>
              <w:rPr>
                <w:rFonts w:hint="default" w:ascii="微软雅黑" w:hAnsi="微软雅黑" w:eastAsia="微软雅黑" w:cs="微软雅黑"/>
                <w:i w:val="0"/>
                <w:iCs w:val="0"/>
                <w:color w:val="000000"/>
                <w:kern w:val="0"/>
                <w:sz w:val="20"/>
                <w:szCs w:val="20"/>
                <w:u w:val="none"/>
                <w:lang w:val="en-US" w:eastAsia="zh-CN" w:bidi="ar"/>
              </w:rPr>
              <w:br w:type="textWrapping"/>
            </w:r>
            <w:r>
              <w:rPr>
                <w:rFonts w:hint="default" w:ascii="微软雅黑" w:hAnsi="微软雅黑" w:eastAsia="微软雅黑" w:cs="微软雅黑"/>
                <w:i w:val="0"/>
                <w:iCs w:val="0"/>
                <w:color w:val="000000"/>
                <w:kern w:val="0"/>
                <w:sz w:val="20"/>
                <w:szCs w:val="20"/>
                <w:u w:val="none"/>
                <w:lang w:val="en-US" w:eastAsia="zh-CN" w:bidi="ar"/>
              </w:rPr>
              <w:t>3.机关事业人员应当符合选任县处级领导干部基本任职条件，同时须在经济部门任职3年以上，具有较强的财务管理、合规风控能力。</w:t>
            </w:r>
          </w:p>
        </w:tc>
        <w:tc>
          <w:tcPr>
            <w:tcW w:w="1051" w:type="dxa"/>
            <w:tcBorders>
              <w:top w:val="single" w:color="000000" w:sz="4" w:space="0"/>
              <w:left w:val="single" w:color="000000" w:sz="4" w:space="0"/>
              <w:bottom w:val="single" w:color="000000" w:sz="4" w:space="0"/>
              <w:right w:val="single" w:color="000000" w:sz="4" w:space="0"/>
            </w:tcBorders>
            <w:noWrap w:val="0"/>
            <w:vAlign w:val="center"/>
          </w:tcPr>
          <w:p w14:paraId="4EF9E6C2">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rPr>
            </w:pPr>
            <w:r>
              <w:rPr>
                <w:rStyle w:val="6"/>
                <w:lang w:val="en-US" w:eastAsia="zh-CN" w:bidi="ar"/>
              </w:rPr>
              <w:t>30-40万</w:t>
            </w:r>
          </w:p>
        </w:tc>
      </w:tr>
      <w:tr w14:paraId="056F9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50" w:type="dxa"/>
            <w:tcBorders>
              <w:top w:val="single" w:color="000000" w:sz="4" w:space="0"/>
              <w:left w:val="single" w:color="000000" w:sz="4" w:space="0"/>
              <w:bottom w:val="single" w:color="000000" w:sz="4" w:space="0"/>
              <w:right w:val="single" w:color="000000" w:sz="4" w:space="0"/>
            </w:tcBorders>
            <w:noWrap/>
            <w:vAlign w:val="center"/>
          </w:tcPr>
          <w:p w14:paraId="4DD7A593">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4</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3B4E5F39">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资阳空港投资集团有限公司</w:t>
            </w:r>
          </w:p>
        </w:tc>
        <w:tc>
          <w:tcPr>
            <w:tcW w:w="4834" w:type="dxa"/>
            <w:tcBorders>
              <w:top w:val="single" w:color="000000" w:sz="4" w:space="0"/>
              <w:left w:val="single" w:color="000000" w:sz="4" w:space="0"/>
              <w:bottom w:val="single" w:color="000000" w:sz="4" w:space="0"/>
              <w:right w:val="single" w:color="000000" w:sz="4" w:space="0"/>
            </w:tcBorders>
            <w:noWrap w:val="0"/>
            <w:vAlign w:val="center"/>
          </w:tcPr>
          <w:p w14:paraId="54B55EA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资阳空港投资集团有限公司（以下简称“港投集团”）成立于2017年9月22日，是经资阳市委、市政府批准，为推进资阳临空经济区建设发展而成立的市属国有企业，注册资本51.99亿元，主体信用AA+级（所属港投产业公司取得产业类AA评级），定位为园区投资建设运营综合服务商，涵盖产业园开发运营、置业开发、工程建设、产业服务等业务板块。港投集团在资阳临空经济区投资建设重大项目50余个，累计投资超300亿元。其中，建成产业园区1个，重点发展航空航天、智能制造、电子芯片、新材料等先进制造业。同时，在新区建成高等院校（成都美术学院）、小学、幼儿园等教育服务设施配套，加油加气站、自来水厂、污水处理厂等市政基础服务设施配套，社区服务综合体邻里中心、商业街、五星级标准临空锦江宾馆、总部基地等商业服务设施配套，房建类项目总建筑面积近300万㎡。</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38ECC04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财务总监</w:t>
            </w:r>
          </w:p>
        </w:tc>
        <w:tc>
          <w:tcPr>
            <w:tcW w:w="950" w:type="dxa"/>
            <w:tcBorders>
              <w:top w:val="single" w:color="000000" w:sz="4" w:space="0"/>
              <w:left w:val="single" w:color="000000" w:sz="4" w:space="0"/>
              <w:bottom w:val="single" w:color="000000" w:sz="4" w:space="0"/>
              <w:right w:val="single" w:color="000000" w:sz="4" w:space="0"/>
            </w:tcBorders>
            <w:noWrap/>
            <w:vAlign w:val="center"/>
          </w:tcPr>
          <w:p w14:paraId="2CF0228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1</w:t>
            </w:r>
          </w:p>
        </w:tc>
        <w:tc>
          <w:tcPr>
            <w:tcW w:w="2050" w:type="dxa"/>
            <w:tcBorders>
              <w:top w:val="single" w:color="000000" w:sz="4" w:space="0"/>
              <w:left w:val="single" w:color="000000" w:sz="4" w:space="0"/>
              <w:bottom w:val="single" w:color="000000" w:sz="4" w:space="0"/>
              <w:right w:val="single" w:color="000000" w:sz="4" w:space="0"/>
            </w:tcBorders>
            <w:noWrap w:val="0"/>
            <w:vAlign w:val="center"/>
          </w:tcPr>
          <w:p w14:paraId="0F0131B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本科及以上学历并取得相应学位，财务、会计、</w:t>
            </w:r>
            <w:r>
              <w:rPr>
                <w:rFonts w:hint="eastAsia" w:ascii="微软雅黑" w:hAnsi="微软雅黑" w:eastAsia="微软雅黑" w:cs="微软雅黑"/>
                <w:i w:val="0"/>
                <w:iCs w:val="0"/>
                <w:color w:val="000000"/>
                <w:kern w:val="0"/>
                <w:sz w:val="20"/>
                <w:szCs w:val="20"/>
                <w:u w:val="none"/>
                <w:lang w:val="en-US" w:eastAsia="zh-CN" w:bidi="ar"/>
              </w:rPr>
              <w:t>审计、</w:t>
            </w:r>
            <w:r>
              <w:rPr>
                <w:rFonts w:hint="default" w:ascii="微软雅黑" w:hAnsi="微软雅黑" w:eastAsia="微软雅黑" w:cs="微软雅黑"/>
                <w:i w:val="0"/>
                <w:iCs w:val="0"/>
                <w:color w:val="000000"/>
                <w:kern w:val="0"/>
                <w:sz w:val="20"/>
                <w:szCs w:val="20"/>
                <w:u w:val="none"/>
                <w:lang w:val="en-US" w:eastAsia="zh-CN" w:bidi="ar"/>
              </w:rPr>
              <w:t>金融等相关专业</w:t>
            </w:r>
          </w:p>
        </w:tc>
        <w:tc>
          <w:tcPr>
            <w:tcW w:w="4117" w:type="dxa"/>
            <w:tcBorders>
              <w:top w:val="single" w:color="000000" w:sz="4" w:space="0"/>
              <w:left w:val="single" w:color="000000" w:sz="4" w:space="0"/>
              <w:bottom w:val="single" w:color="000000" w:sz="4" w:space="0"/>
              <w:right w:val="single" w:color="000000" w:sz="4" w:space="0"/>
            </w:tcBorders>
            <w:noWrap w:val="0"/>
            <w:vAlign w:val="center"/>
          </w:tcPr>
          <w:p w14:paraId="5234AD9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1.45周岁（含）以下（截止发布公告之日）；</w:t>
            </w:r>
            <w:r>
              <w:rPr>
                <w:rFonts w:hint="default" w:ascii="微软雅黑" w:hAnsi="微软雅黑" w:eastAsia="微软雅黑" w:cs="微软雅黑"/>
                <w:i w:val="0"/>
                <w:iCs w:val="0"/>
                <w:color w:val="000000"/>
                <w:kern w:val="0"/>
                <w:sz w:val="20"/>
                <w:szCs w:val="20"/>
                <w:u w:val="none"/>
                <w:lang w:val="en-US" w:eastAsia="zh-CN" w:bidi="ar"/>
              </w:rPr>
              <w:br w:type="textWrapping"/>
            </w:r>
            <w:r>
              <w:rPr>
                <w:rFonts w:hint="default" w:ascii="微软雅黑" w:hAnsi="微软雅黑" w:eastAsia="微软雅黑" w:cs="微软雅黑"/>
                <w:i w:val="0"/>
                <w:iCs w:val="0"/>
                <w:color w:val="000000"/>
                <w:kern w:val="0"/>
                <w:sz w:val="20"/>
                <w:szCs w:val="20"/>
                <w:u w:val="none"/>
                <w:lang w:val="en-US" w:eastAsia="zh-CN" w:bidi="ar"/>
              </w:rPr>
              <w:t>2.具有8年以上企业工作经历、5年以上财务工作经历，具有注册会计师职业资格或高级会计师、高级审计师等经济管理类高级职称，有资金筹划、融资及合规审计等工作经验的优先；</w:t>
            </w:r>
            <w:r>
              <w:rPr>
                <w:rFonts w:hint="default" w:ascii="微软雅黑" w:hAnsi="微软雅黑" w:eastAsia="微软雅黑" w:cs="微软雅黑"/>
                <w:i w:val="0"/>
                <w:iCs w:val="0"/>
                <w:color w:val="000000"/>
                <w:kern w:val="0"/>
                <w:sz w:val="20"/>
                <w:szCs w:val="20"/>
                <w:u w:val="none"/>
                <w:lang w:val="en-US" w:eastAsia="zh-CN" w:bidi="ar"/>
              </w:rPr>
              <w:br w:type="textWrapping"/>
            </w:r>
            <w:r>
              <w:rPr>
                <w:rFonts w:hint="default" w:ascii="微软雅黑" w:hAnsi="微软雅黑" w:eastAsia="微软雅黑" w:cs="微软雅黑"/>
                <w:i w:val="0"/>
                <w:iCs w:val="0"/>
                <w:color w:val="000000"/>
                <w:kern w:val="0"/>
                <w:sz w:val="20"/>
                <w:szCs w:val="20"/>
                <w:u w:val="none"/>
                <w:lang w:val="en-US" w:eastAsia="zh-CN" w:bidi="ar"/>
              </w:rPr>
              <w:t>3.机关事业人员应当符合选任县处级领导干部基本任职条件，同时须在经济部门任职3年以上，具有较强的财务管理、合规风控能力。</w:t>
            </w:r>
          </w:p>
        </w:tc>
        <w:tc>
          <w:tcPr>
            <w:tcW w:w="1051" w:type="dxa"/>
            <w:tcBorders>
              <w:top w:val="single" w:color="000000" w:sz="4" w:space="0"/>
              <w:left w:val="single" w:color="000000" w:sz="4" w:space="0"/>
              <w:bottom w:val="single" w:color="000000" w:sz="4" w:space="0"/>
              <w:right w:val="single" w:color="000000" w:sz="4" w:space="0"/>
            </w:tcBorders>
            <w:noWrap/>
            <w:vAlign w:val="center"/>
          </w:tcPr>
          <w:p w14:paraId="13969397">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30-40万</w:t>
            </w:r>
          </w:p>
        </w:tc>
      </w:tr>
      <w:tr w14:paraId="7C43A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0" w:hRule="atLeast"/>
          <w:jc w:val="center"/>
        </w:trPr>
        <w:tc>
          <w:tcPr>
            <w:tcW w:w="650" w:type="dxa"/>
            <w:tcBorders>
              <w:top w:val="single" w:color="000000" w:sz="4" w:space="0"/>
              <w:left w:val="single" w:color="000000" w:sz="4" w:space="0"/>
              <w:bottom w:val="single" w:color="000000" w:sz="4" w:space="0"/>
              <w:right w:val="single" w:color="000000" w:sz="4" w:space="0"/>
            </w:tcBorders>
            <w:noWrap/>
            <w:vAlign w:val="center"/>
          </w:tcPr>
          <w:p w14:paraId="5391B9D5">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5</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0FCF4853">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资阳文化旅游发展集团有限公司</w:t>
            </w:r>
          </w:p>
        </w:tc>
        <w:tc>
          <w:tcPr>
            <w:tcW w:w="4834" w:type="dxa"/>
            <w:tcBorders>
              <w:top w:val="single" w:color="000000" w:sz="4" w:space="0"/>
              <w:left w:val="single" w:color="000000" w:sz="4" w:space="0"/>
              <w:bottom w:val="single" w:color="000000" w:sz="4" w:space="0"/>
              <w:right w:val="single" w:color="000000" w:sz="4" w:space="0"/>
            </w:tcBorders>
            <w:noWrap w:val="0"/>
            <w:vAlign w:val="center"/>
          </w:tcPr>
          <w:p w14:paraId="6A7973A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资阳文旅集团成立于2021年7月，注册资本5亿元人民币，系市属国企深化改革“2+N”雁阵格局中重要组成成员及市域文旅产业重点企业，是聚焦数字文旅与全龄服务，致力于打造成都都市圈近郊游目的地和成渝中部文旅消费新场景的全链服务商。现有10个全资下属公司，7个控股公司，以及7个参股公司。按照市委市政府安排部署及市国资委工作要求，集团公司确立“一体两翼三支撑”发展战略（即以“文化旅游”作主体、以“医疗健康、教育服务”作两翼、以“项目、人才、资本”作核心支撑），围绕“吃、住、行、游、购、娱、学、医、养”布局和发展产业，坚持为美好生活服务，为奋力打造成都都市圈近郊游目的地贡献力量。</w:t>
            </w:r>
          </w:p>
        </w:tc>
        <w:tc>
          <w:tcPr>
            <w:tcW w:w="766" w:type="dxa"/>
            <w:tcBorders>
              <w:top w:val="single" w:color="000000" w:sz="4" w:space="0"/>
              <w:left w:val="single" w:color="000000" w:sz="4" w:space="0"/>
              <w:bottom w:val="single" w:color="000000" w:sz="4" w:space="0"/>
              <w:right w:val="single" w:color="000000" w:sz="4" w:space="0"/>
            </w:tcBorders>
            <w:noWrap/>
            <w:vAlign w:val="center"/>
          </w:tcPr>
          <w:p w14:paraId="56EEAD9E">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财务总监</w:t>
            </w:r>
          </w:p>
        </w:tc>
        <w:tc>
          <w:tcPr>
            <w:tcW w:w="950" w:type="dxa"/>
            <w:tcBorders>
              <w:top w:val="single" w:color="000000" w:sz="4" w:space="0"/>
              <w:left w:val="single" w:color="000000" w:sz="4" w:space="0"/>
              <w:bottom w:val="single" w:color="000000" w:sz="4" w:space="0"/>
              <w:right w:val="single" w:color="000000" w:sz="4" w:space="0"/>
            </w:tcBorders>
            <w:noWrap/>
            <w:vAlign w:val="center"/>
          </w:tcPr>
          <w:p w14:paraId="5BF9F696">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1</w:t>
            </w:r>
          </w:p>
        </w:tc>
        <w:tc>
          <w:tcPr>
            <w:tcW w:w="2050" w:type="dxa"/>
            <w:tcBorders>
              <w:top w:val="single" w:color="000000" w:sz="4" w:space="0"/>
              <w:left w:val="single" w:color="000000" w:sz="4" w:space="0"/>
              <w:bottom w:val="single" w:color="000000" w:sz="4" w:space="0"/>
              <w:right w:val="single" w:color="000000" w:sz="4" w:space="0"/>
            </w:tcBorders>
            <w:noWrap w:val="0"/>
            <w:vAlign w:val="center"/>
          </w:tcPr>
          <w:p w14:paraId="7EFC599B">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本科及以上学历并取得相应学位，财务、会计、</w:t>
            </w:r>
            <w:r>
              <w:rPr>
                <w:rFonts w:hint="eastAsia" w:ascii="微软雅黑" w:hAnsi="微软雅黑" w:eastAsia="微软雅黑" w:cs="微软雅黑"/>
                <w:i w:val="0"/>
                <w:iCs w:val="0"/>
                <w:color w:val="000000"/>
                <w:kern w:val="0"/>
                <w:sz w:val="20"/>
                <w:szCs w:val="20"/>
                <w:u w:val="none"/>
                <w:lang w:val="en-US" w:eastAsia="zh-CN" w:bidi="ar"/>
              </w:rPr>
              <w:t>审计、</w:t>
            </w:r>
            <w:r>
              <w:rPr>
                <w:rFonts w:hint="default" w:ascii="微软雅黑" w:hAnsi="微软雅黑" w:eastAsia="微软雅黑" w:cs="微软雅黑"/>
                <w:i w:val="0"/>
                <w:iCs w:val="0"/>
                <w:color w:val="000000"/>
                <w:kern w:val="0"/>
                <w:sz w:val="20"/>
                <w:szCs w:val="20"/>
                <w:u w:val="none"/>
                <w:lang w:val="en-US" w:eastAsia="zh-CN" w:bidi="ar"/>
              </w:rPr>
              <w:t>金融等相关专业</w:t>
            </w:r>
          </w:p>
        </w:tc>
        <w:tc>
          <w:tcPr>
            <w:tcW w:w="4117" w:type="dxa"/>
            <w:tcBorders>
              <w:top w:val="single" w:color="000000" w:sz="4" w:space="0"/>
              <w:left w:val="single" w:color="000000" w:sz="4" w:space="0"/>
              <w:bottom w:val="single" w:color="000000" w:sz="4" w:space="0"/>
              <w:right w:val="single" w:color="000000" w:sz="4" w:space="0"/>
            </w:tcBorders>
            <w:noWrap w:val="0"/>
            <w:vAlign w:val="center"/>
          </w:tcPr>
          <w:p w14:paraId="4B1A72A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default" w:ascii="微软雅黑" w:hAnsi="微软雅黑" w:eastAsia="微软雅黑" w:cs="微软雅黑"/>
                <w:i w:val="0"/>
                <w:iCs w:val="0"/>
                <w:color w:val="000000"/>
                <w:kern w:val="0"/>
                <w:sz w:val="20"/>
                <w:szCs w:val="20"/>
                <w:u w:val="none"/>
                <w:lang w:val="en-US" w:eastAsia="zh-CN" w:bidi="ar"/>
              </w:rPr>
              <w:t>1.45周岁（含）以下（截止发布公告之日）；</w:t>
            </w:r>
            <w:r>
              <w:rPr>
                <w:rFonts w:hint="default" w:ascii="微软雅黑" w:hAnsi="微软雅黑" w:eastAsia="微软雅黑" w:cs="微软雅黑"/>
                <w:i w:val="0"/>
                <w:iCs w:val="0"/>
                <w:color w:val="000000"/>
                <w:kern w:val="0"/>
                <w:sz w:val="20"/>
                <w:szCs w:val="20"/>
                <w:u w:val="none"/>
                <w:lang w:val="en-US" w:eastAsia="zh-CN" w:bidi="ar"/>
              </w:rPr>
              <w:br w:type="textWrapping"/>
            </w:r>
            <w:r>
              <w:rPr>
                <w:rFonts w:hint="default" w:ascii="微软雅黑" w:hAnsi="微软雅黑" w:eastAsia="微软雅黑" w:cs="微软雅黑"/>
                <w:i w:val="0"/>
                <w:iCs w:val="0"/>
                <w:color w:val="000000"/>
                <w:kern w:val="0"/>
                <w:sz w:val="20"/>
                <w:szCs w:val="20"/>
                <w:u w:val="none"/>
                <w:lang w:val="en-US" w:eastAsia="zh-CN" w:bidi="ar"/>
              </w:rPr>
              <w:t>2.具有8年以上企业工作经历、5年以上财务工作经历，具有注册会计师职业资格或高级会计师、高级审计师等经济管理类高级职称，有资金筹划、融资及合规审计等工作经验的优先</w:t>
            </w:r>
            <w:r>
              <w:rPr>
                <w:rFonts w:hint="eastAsia" w:ascii="微软雅黑" w:hAnsi="微软雅黑" w:eastAsia="微软雅黑" w:cs="微软雅黑"/>
                <w:i w:val="0"/>
                <w:iCs w:val="0"/>
                <w:color w:val="000000"/>
                <w:kern w:val="0"/>
                <w:sz w:val="20"/>
                <w:szCs w:val="20"/>
                <w:u w:val="none"/>
                <w:lang w:val="en-US" w:eastAsia="zh-CN" w:bidi="ar"/>
              </w:rPr>
              <w:t>；</w:t>
            </w:r>
          </w:p>
          <w:p w14:paraId="192B6DD5">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3.机关事业人员应当符合选任县处级领导干部基本任职条件，同时须在经济部门任职3年以上，具有较强的财务管理、合规风控能力。</w:t>
            </w:r>
          </w:p>
        </w:tc>
        <w:tc>
          <w:tcPr>
            <w:tcW w:w="1051" w:type="dxa"/>
            <w:tcBorders>
              <w:top w:val="single" w:color="000000" w:sz="4" w:space="0"/>
              <w:left w:val="single" w:color="000000" w:sz="4" w:space="0"/>
              <w:bottom w:val="single" w:color="000000" w:sz="4" w:space="0"/>
              <w:right w:val="single" w:color="000000" w:sz="4" w:space="0"/>
            </w:tcBorders>
            <w:noWrap/>
            <w:vAlign w:val="center"/>
          </w:tcPr>
          <w:p w14:paraId="009A68FD">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rPr>
            </w:pPr>
            <w:r>
              <w:rPr>
                <w:rFonts w:hint="default" w:ascii="微软雅黑" w:hAnsi="微软雅黑" w:eastAsia="微软雅黑" w:cs="微软雅黑"/>
                <w:i w:val="0"/>
                <w:iCs w:val="0"/>
                <w:color w:val="000000"/>
                <w:kern w:val="0"/>
                <w:sz w:val="20"/>
                <w:szCs w:val="20"/>
                <w:u w:val="none"/>
                <w:lang w:val="en-US" w:eastAsia="zh-CN" w:bidi="ar"/>
              </w:rPr>
              <w:t>25-35万</w:t>
            </w:r>
          </w:p>
        </w:tc>
      </w:tr>
    </w:tbl>
    <w:p w14:paraId="34BB982B">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黑体简体">
    <w:panose1 w:val="02010601030101010101"/>
    <w:charset w:val="86"/>
    <w:family w:val="auto"/>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394C55"/>
    <w:rsid w:val="4C394C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jc w:val="center"/>
    </w:pPr>
    <w:rPr>
      <w:rFonts w:eastAsia="黑体"/>
      <w:u w:val="single"/>
    </w:rPr>
  </w:style>
  <w:style w:type="paragraph" w:styleId="3">
    <w:name w:val="Normal Indent"/>
    <w:basedOn w:val="1"/>
    <w:next w:val="1"/>
    <w:qFormat/>
    <w:uiPriority w:val="0"/>
    <w:pPr>
      <w:ind w:firstLine="420"/>
    </w:pPr>
  </w:style>
  <w:style w:type="character" w:customStyle="1" w:styleId="6">
    <w:name w:val="font21"/>
    <w:basedOn w:val="5"/>
    <w:uiPriority w:val="0"/>
    <w:rPr>
      <w:rFonts w:hint="default" w:ascii="微软雅黑" w:hAnsi="微软雅黑" w:eastAsia="微软雅黑" w:cs="微软雅黑"/>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2026-11-02T08:48:00Z</dcterms:created>
  <dc:creator>李佳美</dc:creator>
  <cp:lastModifiedBy>李佳美</cp:lastModifiedBy>
  <dcterms:modified xsi:type="dcterms:W3CDTF">2026-11-02T08:49:04Z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43A50099B80A44FA9E421E6A16CBD75E_11</vt:lpwstr>
  </property>
  <property fmtid="{D5CDD505-2E9C-101B-9397-08002B2CF9AE}" pid="4" name="KSOTemplateDocerSaveRecord">
    <vt:lpwstr>eyJoZGlkIjoiMWJiM2MzNjZhYjhjZDcxZWFkOGZlMzRjZTMzNTI3NzAiLCJ1c2VySWQiOiIzMTUwNTAwODkifQ==</vt:lpwstr>
  </property>
</Properties>
</file>