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6F984B">
      <w:pPr>
        <w:outlineLvl w:val="0"/>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附件2</w:t>
      </w:r>
    </w:p>
    <w:p w14:paraId="201D469B">
      <w:pPr>
        <w:keepNext w:val="0"/>
        <w:keepLines w:val="0"/>
        <w:pageBreakBefore w:val="0"/>
        <w:widowControl w:val="0"/>
        <w:kinsoku/>
        <w:wordWrap/>
        <w:overflowPunct/>
        <w:topLinePunct w:val="0"/>
        <w:autoSpaceDE/>
        <w:autoSpaceDN/>
        <w:bidi w:val="0"/>
        <w:adjustRightInd/>
        <w:snapToGrid/>
        <w:spacing w:after="313" w:afterLines="100" w:line="480" w:lineRule="exact"/>
        <w:ind w:firstLine="0" w:firstLineChars="0"/>
        <w:jc w:val="center"/>
        <w:textAlignment w:val="auto"/>
        <w:outlineLvl w:val="0"/>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高投集团2027届秋季校园招聘企业简介</w:t>
      </w:r>
    </w:p>
    <w:p w14:paraId="35241E17">
      <w:pPr>
        <w:keepNext w:val="0"/>
        <w:keepLines w:val="0"/>
        <w:pageBreakBefore w:val="0"/>
        <w:widowControl w:val="0"/>
        <w:kinsoku/>
        <w:wordWrap/>
        <w:overflowPunct/>
        <w:topLinePunct w:val="0"/>
        <w:autoSpaceDE/>
        <w:autoSpaceDN/>
        <w:bidi w:val="0"/>
        <w:adjustRightInd/>
        <w:snapToGrid/>
        <w:spacing w:after="0" w:line="480" w:lineRule="exact"/>
        <w:ind w:firstLine="0" w:firstLineChars="0"/>
        <w:textAlignment w:val="auto"/>
        <w:outlineLvl w:val="0"/>
        <w:rPr>
          <w:rFonts w:hint="default" w:ascii="方正黑体" w:hAnsi="方正黑体" w:eastAsia="方正黑体" w:cs="方正黑体"/>
          <w:sz w:val="32"/>
          <w:szCs w:val="32"/>
          <w:lang w:val="en-US" w:eastAsia="zh-CN"/>
        </w:rPr>
      </w:pPr>
      <w:r>
        <w:rPr>
          <w:rFonts w:hint="eastAsia" w:ascii="方正黑体" w:hAnsi="方正黑体" w:eastAsia="方正黑体" w:cs="方正黑体"/>
          <w:sz w:val="32"/>
          <w:szCs w:val="32"/>
          <w:lang w:val="en-US" w:eastAsia="zh-CN"/>
        </w:rPr>
        <w:t>一、成都高投产城建设集团有限公司下属企业</w:t>
      </w:r>
    </w:p>
    <w:p w14:paraId="29B917B1">
      <w:pPr>
        <w:keepNext w:val="0"/>
        <w:keepLines w:val="0"/>
        <w:pageBreakBefore w:val="0"/>
        <w:widowControl w:val="0"/>
        <w:kinsoku/>
        <w:wordWrap/>
        <w:overflowPunct/>
        <w:topLinePunct w:val="0"/>
        <w:autoSpaceDE/>
        <w:autoSpaceDN/>
        <w:bidi w:val="0"/>
        <w:adjustRightInd/>
        <w:snapToGrid/>
        <w:spacing w:after="0" w:line="480" w:lineRule="exact"/>
        <w:ind w:firstLine="0" w:firstLineChars="0"/>
        <w:textAlignment w:val="auto"/>
        <w:outlineLvl w:val="1"/>
        <w:rPr>
          <w:rFonts w:hint="eastAsia" w:ascii="方正黑体" w:hAnsi="方正黑体" w:eastAsia="方正黑体" w:cs="方正黑体"/>
          <w:sz w:val="24"/>
          <w:szCs w:val="24"/>
          <w:lang w:val="en-US" w:eastAsia="zh-CN"/>
        </w:rPr>
      </w:pPr>
      <w:r>
        <w:rPr>
          <w:rFonts w:hint="eastAsia" w:ascii="方正黑体" w:hAnsi="方正黑体" w:eastAsia="方正黑体" w:cs="方正黑体"/>
          <w:sz w:val="24"/>
          <w:szCs w:val="24"/>
          <w:lang w:val="en-US" w:eastAsia="zh-CN"/>
        </w:rPr>
        <w:t>1.成都天府软件园有限公司：</w:t>
      </w:r>
    </w:p>
    <w:p w14:paraId="3E3393D8">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 w:cs="Times New Roman"/>
          <w:sz w:val="24"/>
          <w:szCs w:val="24"/>
          <w:lang w:val="en-US" w:eastAsia="zh-CN"/>
        </w:rPr>
        <w:t>成都天府软件园有限公司是国内领先的产业园区专业运营商，为企业全生命周期开展全方位服务，构建完善覆盖人才服务、创业</w:t>
      </w:r>
      <w:bookmarkStart w:id="0" w:name="_GoBack"/>
      <w:bookmarkEnd w:id="0"/>
      <w:r>
        <w:rPr>
          <w:rFonts w:hint="default" w:ascii="Times New Roman" w:hAnsi="Times New Roman" w:eastAsia="方正仿宋" w:cs="Times New Roman"/>
          <w:sz w:val="24"/>
          <w:szCs w:val="24"/>
          <w:lang w:val="en-US" w:eastAsia="zh-CN"/>
        </w:rPr>
        <w:t>孵化（含OPC）、投融资服务、公共技术平台、产业社交、品牌策划与推广、客户关系、生活服务等方面的多维度产业服务体系。公司现运营管理了天府软件园、AI创新中心、星耀高新·智谷、新川数字经济产业基地等多个产业园区，运营管理园区总建筑面积约300万平方米。公司按照专业化、平台化、国际化的发展思路，通过做平台、做连接，进一步整合产业资源、打造产业生态、推动产业创新。</w:t>
      </w:r>
    </w:p>
    <w:p w14:paraId="42D71DD7">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default" w:ascii="Times New Roman" w:hAnsi="Times New Roman" w:eastAsia="方正仿宋_GBK"/>
          <w:sz w:val="24"/>
          <w:szCs w:val="24"/>
          <w:lang w:val="en-US" w:eastAsia="zh-CN"/>
        </w:rPr>
      </w:pPr>
    </w:p>
    <w:p w14:paraId="3E65494F">
      <w:pPr>
        <w:keepNext w:val="0"/>
        <w:keepLines w:val="0"/>
        <w:pageBreakBefore w:val="0"/>
        <w:widowControl w:val="0"/>
        <w:kinsoku/>
        <w:wordWrap/>
        <w:overflowPunct/>
        <w:topLinePunct w:val="0"/>
        <w:autoSpaceDE/>
        <w:autoSpaceDN/>
        <w:bidi w:val="0"/>
        <w:adjustRightInd/>
        <w:snapToGrid/>
        <w:spacing w:after="0" w:line="480" w:lineRule="exact"/>
        <w:ind w:firstLine="0" w:firstLineChars="0"/>
        <w:textAlignment w:val="auto"/>
        <w:outlineLvl w:val="1"/>
        <w:rPr>
          <w:rFonts w:hint="eastAsia" w:ascii="方正黑体" w:hAnsi="方正黑体" w:eastAsia="方正黑体" w:cs="方正黑体"/>
          <w:sz w:val="24"/>
          <w:szCs w:val="24"/>
          <w:lang w:val="en-US" w:eastAsia="zh-CN"/>
        </w:rPr>
      </w:pPr>
      <w:r>
        <w:rPr>
          <w:rFonts w:hint="eastAsia" w:ascii="方正黑体" w:hAnsi="方正黑体" w:eastAsia="方正黑体" w:cs="方正黑体"/>
          <w:sz w:val="24"/>
          <w:szCs w:val="24"/>
          <w:lang w:val="en-US" w:eastAsia="zh-CN"/>
        </w:rPr>
        <w:t>2.成都天府长岛数字文创产业发展有限公司：</w:t>
      </w:r>
    </w:p>
    <w:p w14:paraId="2BFD96E8">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default" w:ascii="Times New Roman" w:hAnsi="Times New Roman" w:eastAsia="方正仿宋" w:cs="Times New Roman"/>
          <w:sz w:val="24"/>
          <w:szCs w:val="24"/>
          <w:lang w:val="en-US" w:eastAsia="zh-CN"/>
        </w:rPr>
      </w:pPr>
      <w:r>
        <w:rPr>
          <w:rFonts w:hint="default" w:ascii="Times New Roman" w:hAnsi="Times New Roman" w:eastAsia="方正仿宋" w:cs="Times New Roman"/>
          <w:sz w:val="24"/>
          <w:szCs w:val="24"/>
          <w:lang w:val="en-US" w:eastAsia="zh-CN"/>
        </w:rPr>
        <w:t>成都天府长岛数字文创产业发展有限公司（原名：成都高新文创传媒有限公司）成立于2020年5月，系成都高投产城建设集团有限公司全资子公司。公司立足成都高新区，深耕数字文创产业发展，业务涵盖产业发展与产业投资两大板块。产业发展包含园区运营、企业招引、孵化器运营、企业服务、共性技术平台运营，同时开展商业及地标运营、文创IP打造、新媒体运营、品牌推广、活动策划、影视制作、媒介整合等业务；产业投资主要从事基金投资、直接投资、产业并购。公司依托成都高新区数字经济基础，聚焦数字经济核心赛道，不断完善产业生态与服务保障体系，致力于打造全国领先的数字经济产业发展加速器，助力高新区建设世界级数字经济产业集群。</w:t>
      </w:r>
    </w:p>
    <w:p w14:paraId="0BC1922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方正仿宋_GBK"/>
          <w:sz w:val="24"/>
          <w:szCs w:val="24"/>
          <w:lang w:val="en-US" w:eastAsia="zh-CN"/>
        </w:rPr>
      </w:pPr>
    </w:p>
    <w:p w14:paraId="007F0691">
      <w:pPr>
        <w:keepNext w:val="0"/>
        <w:keepLines w:val="0"/>
        <w:pageBreakBefore w:val="0"/>
        <w:widowControl w:val="0"/>
        <w:kinsoku/>
        <w:wordWrap/>
        <w:overflowPunct/>
        <w:topLinePunct w:val="0"/>
        <w:autoSpaceDE/>
        <w:autoSpaceDN/>
        <w:bidi w:val="0"/>
        <w:adjustRightInd/>
        <w:snapToGrid/>
        <w:spacing w:after="0" w:line="480" w:lineRule="exact"/>
        <w:ind w:firstLine="0" w:firstLineChars="0"/>
        <w:textAlignment w:val="auto"/>
        <w:outlineLvl w:val="1"/>
        <w:rPr>
          <w:rFonts w:hint="default" w:ascii="方正黑体" w:hAnsi="方正黑体" w:eastAsia="方正黑体" w:cs="方正黑体"/>
          <w:sz w:val="24"/>
          <w:szCs w:val="24"/>
          <w:lang w:val="en-US" w:eastAsia="zh-CN"/>
        </w:rPr>
      </w:pPr>
      <w:r>
        <w:rPr>
          <w:rFonts w:hint="eastAsia" w:ascii="方正黑体" w:hAnsi="方正黑体" w:eastAsia="方正黑体" w:cs="方正黑体"/>
          <w:sz w:val="24"/>
          <w:szCs w:val="24"/>
          <w:lang w:val="en-US" w:eastAsia="zh-CN"/>
        </w:rPr>
        <w:t>3.成都高投生物医药产业发展有限公司：</w:t>
      </w:r>
    </w:p>
    <w:p w14:paraId="06898843">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default" w:ascii="Times New Roman" w:hAnsi="Times New Roman" w:eastAsia="方正仿宋" w:cs="Times New Roman"/>
          <w:sz w:val="24"/>
          <w:szCs w:val="24"/>
          <w:lang w:val="en-US" w:eastAsia="zh-CN"/>
        </w:rPr>
      </w:pPr>
      <w:r>
        <w:rPr>
          <w:rFonts w:hint="default" w:ascii="Times New Roman" w:hAnsi="Times New Roman" w:eastAsia="方正仿宋" w:cs="Times New Roman"/>
          <w:sz w:val="24"/>
          <w:szCs w:val="24"/>
          <w:lang w:val="en-US" w:eastAsia="zh-CN"/>
        </w:rPr>
        <w:t>成都高投生物医药产业发展有限公司成立于2016年8月，系成都高新投资集团下属成都高投产城建设集团有限公司全资子公司，是天府生命科技园、成都前沿医学中心的运营管理主体，定位国内顶尖生物产业高品质科创空间整合运营商。公司运营管理两大专业产业载体，总面积约83万㎡，构建企业全生命周期一站式服务体系。两大园区分别聚焦医药研发孵化、前沿医学与BT+IT融合发展，配套多个国家级科研平台，集聚7000余名产业从业者，汇聚诺奖得主、百余名行业专家及优质创新团队，落地优质项目450余项，集聚国内外各类企业200余家，培育出多家上市、专精特新、高新及瞪羚雏鹰企业。</w:t>
      </w:r>
    </w:p>
    <w:p w14:paraId="153BA21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方正仿宋_GBK"/>
          <w:sz w:val="24"/>
          <w:szCs w:val="24"/>
          <w:lang w:val="en-US" w:eastAsia="zh-CN"/>
        </w:rPr>
      </w:pPr>
    </w:p>
    <w:p w14:paraId="60ECF07E">
      <w:pPr>
        <w:keepNext w:val="0"/>
        <w:keepLines w:val="0"/>
        <w:pageBreakBefore w:val="0"/>
        <w:widowControl w:val="0"/>
        <w:kinsoku/>
        <w:wordWrap/>
        <w:overflowPunct/>
        <w:topLinePunct w:val="0"/>
        <w:autoSpaceDE/>
        <w:autoSpaceDN/>
        <w:bidi w:val="0"/>
        <w:adjustRightInd/>
        <w:snapToGrid/>
        <w:spacing w:after="0" w:line="480" w:lineRule="exact"/>
        <w:ind w:firstLine="0" w:firstLineChars="0"/>
        <w:textAlignment w:val="auto"/>
        <w:outlineLvl w:val="1"/>
        <w:rPr>
          <w:rFonts w:hint="eastAsia" w:ascii="方正黑体" w:hAnsi="方正黑体" w:eastAsia="方正黑体" w:cs="方正黑体"/>
          <w:sz w:val="24"/>
          <w:szCs w:val="24"/>
          <w:lang w:val="en-US" w:eastAsia="zh-CN"/>
        </w:rPr>
      </w:pPr>
      <w:r>
        <w:rPr>
          <w:rFonts w:hint="eastAsia" w:ascii="方正黑体" w:hAnsi="方正黑体" w:eastAsia="方正黑体" w:cs="方正黑体"/>
          <w:sz w:val="24"/>
          <w:szCs w:val="24"/>
          <w:lang w:val="en-US" w:eastAsia="zh-CN"/>
        </w:rPr>
        <w:t>4.成都高投资产经营管理有限公司：</w:t>
      </w:r>
    </w:p>
    <w:p w14:paraId="06C96523">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default" w:ascii="Times New Roman" w:hAnsi="Times New Roman" w:eastAsia="方正仿宋" w:cs="Times New Roman"/>
          <w:sz w:val="24"/>
          <w:szCs w:val="24"/>
          <w:lang w:val="en-US" w:eastAsia="zh-CN"/>
        </w:rPr>
      </w:pPr>
      <w:r>
        <w:rPr>
          <w:rFonts w:hint="default" w:ascii="Times New Roman" w:hAnsi="Times New Roman" w:eastAsia="方正仿宋" w:cs="Times New Roman"/>
          <w:sz w:val="24"/>
          <w:szCs w:val="24"/>
          <w:lang w:val="en-US" w:eastAsia="zh-CN"/>
        </w:rPr>
        <w:t>成都高投资产经营管理有限公司是高投集团下属产城集团全资子公司，注册资本16.8亿元，主营资产管理、商业运营、物业服务，是集团城市运营板块的重要支撑。公司成立于2001年，下设11个部门及3家全资子公司，以租赁筑基、物业强本、商业立市，管理资产项目超100万㎡、物业项目超600万㎡，涵盖商业、写字楼、园区、公寓等业态；运营的城市地标铁像寺水街，获评国家AAA级旅游景区和省级旅游休闲街区。未来，公司将围绕集团</w:t>
      </w:r>
      <w:r>
        <w:rPr>
          <w:rFonts w:hint="eastAsia" w:ascii="方正仿宋" w:hAnsi="方正仿宋" w:eastAsia="方正仿宋" w:cs="方正仿宋"/>
          <w:sz w:val="24"/>
          <w:szCs w:val="24"/>
          <w:lang w:val="en-US" w:eastAsia="zh-CN"/>
        </w:rPr>
        <w:t>高品质产城融合综合运营商的战略，深耕资产运营管理领域，打造一流国有商管团队，树立“高投商管”品牌，挖掘资产价值，塑造城市文化美学空间，营造多元消费场景，助力高新区</w:t>
      </w:r>
      <w:r>
        <w:rPr>
          <w:rFonts w:hint="default" w:ascii="Times New Roman" w:hAnsi="Times New Roman" w:eastAsia="方正仿宋" w:cs="Times New Roman"/>
          <w:sz w:val="24"/>
          <w:szCs w:val="24"/>
          <w:lang w:val="en-US" w:eastAsia="zh-CN"/>
        </w:rPr>
        <w:t>打造高品质生活宜居地。</w:t>
      </w:r>
    </w:p>
    <w:p w14:paraId="6AE4C16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方正仿宋_GBK"/>
          <w:sz w:val="24"/>
          <w:szCs w:val="24"/>
          <w:lang w:val="en-US" w:eastAsia="zh-CN"/>
        </w:rPr>
      </w:pPr>
    </w:p>
    <w:p w14:paraId="4223A112">
      <w:pPr>
        <w:keepNext w:val="0"/>
        <w:keepLines w:val="0"/>
        <w:pageBreakBefore w:val="0"/>
        <w:widowControl w:val="0"/>
        <w:kinsoku/>
        <w:wordWrap/>
        <w:overflowPunct/>
        <w:topLinePunct w:val="0"/>
        <w:autoSpaceDE/>
        <w:autoSpaceDN/>
        <w:bidi w:val="0"/>
        <w:adjustRightInd/>
        <w:snapToGrid/>
        <w:spacing w:after="0" w:line="480" w:lineRule="exact"/>
        <w:ind w:firstLine="0" w:firstLineChars="0"/>
        <w:textAlignment w:val="auto"/>
        <w:outlineLvl w:val="1"/>
        <w:rPr>
          <w:rFonts w:hint="eastAsia" w:ascii="方正黑体" w:hAnsi="方正黑体" w:eastAsia="方正黑体" w:cs="方正黑体"/>
          <w:sz w:val="24"/>
          <w:szCs w:val="24"/>
          <w:lang w:val="en-US" w:eastAsia="zh-CN"/>
        </w:rPr>
      </w:pPr>
      <w:r>
        <w:rPr>
          <w:rFonts w:hint="eastAsia" w:ascii="方正黑体" w:hAnsi="方正黑体" w:eastAsia="方正黑体" w:cs="方正黑体"/>
          <w:sz w:val="24"/>
          <w:szCs w:val="24"/>
          <w:lang w:val="en-US" w:eastAsia="zh-CN"/>
        </w:rPr>
        <w:t>5.成都高新菁蓉汇智人才服务有限公司：</w:t>
      </w:r>
    </w:p>
    <w:p w14:paraId="3BD14AE7">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default" w:ascii="Times New Roman" w:hAnsi="Times New Roman" w:eastAsia="方正仿宋" w:cs="Times New Roman"/>
          <w:sz w:val="24"/>
          <w:szCs w:val="24"/>
        </w:rPr>
      </w:pPr>
      <w:r>
        <w:rPr>
          <w:rFonts w:hint="default" w:ascii="Times New Roman" w:hAnsi="Times New Roman" w:eastAsia="方正仿宋" w:cs="Times New Roman"/>
          <w:sz w:val="24"/>
          <w:szCs w:val="24"/>
        </w:rPr>
        <w:t>成都高新菁蓉汇智人才服务有限公司成立于2021年，注册资本1亿元，2025年资产规模约30亿元、营收3亿元。公</w:t>
      </w:r>
      <w:r>
        <w:rPr>
          <w:rFonts w:hint="eastAsia" w:ascii="方正仿宋" w:hAnsi="方正仿宋" w:eastAsia="方正仿宋" w:cs="方正仿宋"/>
          <w:sz w:val="24"/>
          <w:szCs w:val="24"/>
        </w:rPr>
        <w:t>司以“赋能高新产业，成就人才价值”</w:t>
      </w:r>
      <w:r>
        <w:rPr>
          <w:rFonts w:hint="default" w:ascii="Times New Roman" w:hAnsi="Times New Roman" w:eastAsia="方正仿宋" w:cs="Times New Roman"/>
          <w:sz w:val="24"/>
          <w:szCs w:val="24"/>
        </w:rPr>
        <w:t>为使命，构建人力资源服务、人才安居服务、人力资源产业园区运营三大业务体系。人力资源服务，聚焦高新技术产业人才需求，形成以人力外包为主，猎头、招聘等协</w:t>
      </w:r>
      <w:r>
        <w:rPr>
          <w:rFonts w:hint="eastAsia" w:ascii="方正仿宋" w:hAnsi="方正仿宋" w:eastAsia="方正仿宋" w:cs="方正仿宋"/>
          <w:sz w:val="24"/>
          <w:szCs w:val="24"/>
        </w:rPr>
        <w:t>同的“一核多元”服务体系。</w:t>
      </w:r>
      <w:r>
        <w:rPr>
          <w:rFonts w:hint="default" w:ascii="Times New Roman" w:hAnsi="Times New Roman" w:eastAsia="方正仿宋" w:cs="Times New Roman"/>
          <w:sz w:val="24"/>
          <w:szCs w:val="24"/>
        </w:rPr>
        <w:t>人才安居服务，推出海棠、银杏、丁香等公寓品牌，房源持有量居成都前列，2026年底将突破1.1万套，累计服务企业超800家次、人才2万余人次。产业园区运营，运营国家级中国成都人力资源服务产业园，截至2025年底集聚企业170余家，其中规上企业40余家、省</w:t>
      </w:r>
      <w:r>
        <w:rPr>
          <w:rFonts w:hint="eastAsia" w:ascii="方正仿宋" w:hAnsi="方正仿宋" w:eastAsia="方正仿宋" w:cs="方正仿宋"/>
          <w:sz w:val="24"/>
          <w:szCs w:val="24"/>
        </w:rPr>
        <w:t>级“专精特新”企</w:t>
      </w:r>
      <w:r>
        <w:rPr>
          <w:rFonts w:hint="default" w:ascii="Times New Roman" w:hAnsi="Times New Roman" w:eastAsia="方正仿宋" w:cs="Times New Roman"/>
          <w:sz w:val="24"/>
          <w:szCs w:val="24"/>
        </w:rPr>
        <w:t>业10家。</w:t>
      </w:r>
    </w:p>
    <w:p w14:paraId="40FA6CB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方正仿宋_GBK"/>
          <w:sz w:val="24"/>
          <w:szCs w:val="24"/>
        </w:rPr>
      </w:pPr>
    </w:p>
    <w:p w14:paraId="2E8DD975">
      <w:pPr>
        <w:keepNext w:val="0"/>
        <w:keepLines w:val="0"/>
        <w:pageBreakBefore w:val="0"/>
        <w:widowControl w:val="0"/>
        <w:kinsoku/>
        <w:wordWrap/>
        <w:overflowPunct/>
        <w:topLinePunct w:val="0"/>
        <w:autoSpaceDE/>
        <w:autoSpaceDN/>
        <w:bidi w:val="0"/>
        <w:adjustRightInd/>
        <w:snapToGrid/>
        <w:spacing w:after="0" w:line="480" w:lineRule="exact"/>
        <w:ind w:firstLine="0" w:firstLineChars="0"/>
        <w:textAlignment w:val="auto"/>
        <w:outlineLvl w:val="1"/>
        <w:rPr>
          <w:rFonts w:hint="eastAsia" w:ascii="方正黑体" w:hAnsi="方正黑体" w:eastAsia="方正黑体" w:cs="方正黑体"/>
          <w:sz w:val="24"/>
          <w:szCs w:val="24"/>
          <w:lang w:val="en-US" w:eastAsia="zh-CN"/>
        </w:rPr>
      </w:pPr>
      <w:r>
        <w:rPr>
          <w:rFonts w:hint="eastAsia" w:ascii="方正黑体" w:hAnsi="方正黑体" w:eastAsia="方正黑体" w:cs="方正黑体"/>
          <w:sz w:val="24"/>
          <w:szCs w:val="24"/>
          <w:lang w:val="en-US" w:eastAsia="zh-CN"/>
        </w:rPr>
        <w:t>6.成都高投置业有限公司：</w:t>
      </w:r>
    </w:p>
    <w:p w14:paraId="4A28836B">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default" w:ascii="Times New Roman" w:hAnsi="Times New Roman" w:eastAsia="方正仿宋" w:cs="Times New Roman"/>
          <w:sz w:val="24"/>
          <w:szCs w:val="24"/>
          <w:lang w:val="en-US" w:eastAsia="zh-CN"/>
        </w:rPr>
      </w:pPr>
      <w:r>
        <w:rPr>
          <w:rFonts w:hint="default" w:ascii="Times New Roman" w:hAnsi="Times New Roman" w:eastAsia="方正仿宋" w:cs="Times New Roman"/>
          <w:sz w:val="24"/>
          <w:szCs w:val="24"/>
          <w:lang w:val="en-US" w:eastAsia="zh-CN"/>
        </w:rPr>
        <w:t>成都高投置业有限公司（以下简称置业公司）成立于2002年1月，经营范围涉及房地产开发经营、工程建设管理及物业管理等，拥有房地产开发企业一级资质。公司定位为</w:t>
      </w:r>
      <w:r>
        <w:rPr>
          <w:rFonts w:hint="eastAsia" w:ascii="方正仿宋" w:hAnsi="方正仿宋" w:eastAsia="方正仿宋" w:cs="方正仿宋"/>
          <w:sz w:val="24"/>
          <w:szCs w:val="24"/>
          <w:lang w:val="en-US" w:eastAsia="zh-CN"/>
        </w:rPr>
        <w:t>“产城融合集成开发商”，聚焦专业园区</w:t>
      </w:r>
      <w:r>
        <w:rPr>
          <w:rFonts w:hint="default" w:ascii="Times New Roman" w:hAnsi="Times New Roman" w:eastAsia="方正仿宋" w:cs="Times New Roman"/>
          <w:sz w:val="24"/>
          <w:szCs w:val="24"/>
          <w:lang w:val="en-US" w:eastAsia="zh-CN"/>
        </w:rPr>
        <w:t>和高品质住宅开发，打造宜业宜居的城市空间。经过24年发展，置业公司已累计建成各类项目约1083万㎡，其中，天府软件园、天府生命科技园、AI创新中心、前沿医学中心等产业园区项目约446万㎡；天悦府、新悦府、朗悦府等住宅项目约377万㎡；中国-欧洲中心、大源国际中心、铁像寺水街等商业项目约102万㎡；政府投资项目约158万㎡。目前，在建项目总建筑面积约175万㎡，其中，产业园区3个，总建筑面积约107万㎡；住宅项目6个，总建筑面积约68万㎡。</w:t>
      </w:r>
    </w:p>
    <w:p w14:paraId="47FAB95E">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Times New Roman" w:hAnsi="Times New Roman" w:eastAsia="方正仿宋_GBK"/>
          <w:sz w:val="24"/>
          <w:szCs w:val="24"/>
          <w:lang w:val="en-US" w:eastAsia="zh-CN"/>
        </w:rPr>
      </w:pPr>
    </w:p>
    <w:p w14:paraId="01ABA6CA">
      <w:pPr>
        <w:keepNext w:val="0"/>
        <w:keepLines w:val="0"/>
        <w:pageBreakBefore w:val="0"/>
        <w:widowControl w:val="0"/>
        <w:kinsoku/>
        <w:wordWrap/>
        <w:overflowPunct/>
        <w:topLinePunct w:val="0"/>
        <w:autoSpaceDE/>
        <w:autoSpaceDN/>
        <w:bidi w:val="0"/>
        <w:adjustRightInd/>
        <w:snapToGrid/>
        <w:spacing w:after="0" w:line="480" w:lineRule="exact"/>
        <w:ind w:firstLine="0" w:firstLineChars="0"/>
        <w:textAlignment w:val="auto"/>
        <w:outlineLvl w:val="1"/>
        <w:rPr>
          <w:rFonts w:hint="eastAsia" w:ascii="方正黑体" w:hAnsi="方正黑体" w:eastAsia="方正黑体" w:cs="方正黑体"/>
          <w:sz w:val="24"/>
          <w:szCs w:val="24"/>
          <w:lang w:val="en-US" w:eastAsia="zh-CN"/>
        </w:rPr>
      </w:pPr>
      <w:r>
        <w:rPr>
          <w:rFonts w:hint="eastAsia" w:ascii="方正黑体" w:hAnsi="方正黑体" w:eastAsia="方正黑体" w:cs="方正黑体"/>
          <w:sz w:val="24"/>
          <w:szCs w:val="24"/>
          <w:lang w:val="en-US" w:eastAsia="zh-CN"/>
        </w:rPr>
        <w:t>7.成都高投建设开发有限公司：</w:t>
      </w:r>
    </w:p>
    <w:p w14:paraId="3D08EB23">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default" w:ascii="Times New Roman" w:hAnsi="Times New Roman" w:eastAsia="方正仿宋_GBK"/>
          <w:sz w:val="24"/>
          <w:szCs w:val="24"/>
          <w:lang w:val="en-US" w:eastAsia="zh-CN"/>
        </w:rPr>
      </w:pPr>
      <w:r>
        <w:rPr>
          <w:rFonts w:hint="default" w:ascii="Times New Roman" w:hAnsi="Times New Roman" w:eastAsia="方正仿宋" w:cs="Times New Roman"/>
          <w:sz w:val="24"/>
          <w:szCs w:val="24"/>
          <w:lang w:val="en-US" w:eastAsia="zh-CN"/>
        </w:rPr>
        <w:t>成都高投建设开发有限公司系产城集团下属全资子公司，成立于2001年，注册资金2亿元。公司业务涵盖房地产开发、市政建设、工程管理、固废与水污染治理等领域，具备从工程建设到城市运营的综合服务能力。公司建成天府大道下穿新世纪西路隧道、高新体育中心、蒙彼利埃小学等地标与民生项目；同步开展路灯能源托管、应急污水处理、垃圾压缩转运等市政运营业务。</w:t>
      </w:r>
    </w:p>
    <w:p w14:paraId="3EA68EAF">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Times New Roman" w:hAnsi="Times New Roman" w:eastAsia="方正仿宋_GBK"/>
          <w:sz w:val="24"/>
          <w:szCs w:val="24"/>
          <w:lang w:val="en-US" w:eastAsia="zh-CN"/>
        </w:rPr>
      </w:pPr>
    </w:p>
    <w:p w14:paraId="50698DE4">
      <w:pPr>
        <w:keepNext w:val="0"/>
        <w:keepLines w:val="0"/>
        <w:pageBreakBefore w:val="0"/>
        <w:widowControl w:val="0"/>
        <w:kinsoku/>
        <w:wordWrap/>
        <w:overflowPunct/>
        <w:topLinePunct w:val="0"/>
        <w:autoSpaceDE/>
        <w:autoSpaceDN/>
        <w:bidi w:val="0"/>
        <w:adjustRightInd/>
        <w:snapToGrid/>
        <w:spacing w:after="0" w:line="480" w:lineRule="exact"/>
        <w:ind w:firstLine="0" w:firstLineChars="0"/>
        <w:textAlignment w:val="auto"/>
        <w:outlineLvl w:val="0"/>
        <w:rPr>
          <w:rFonts w:hint="default" w:ascii="Times New Roman" w:hAnsi="Times New Roman" w:eastAsia="方正仿宋_GBK"/>
          <w:sz w:val="24"/>
          <w:szCs w:val="24"/>
          <w:lang w:val="en-US" w:eastAsia="zh-CN"/>
        </w:rPr>
      </w:pPr>
      <w:r>
        <w:rPr>
          <w:rFonts w:hint="eastAsia" w:ascii="方正黑体" w:hAnsi="方正黑体" w:eastAsia="方正黑体" w:cs="方正黑体"/>
          <w:sz w:val="32"/>
          <w:szCs w:val="32"/>
          <w:lang w:val="en-US" w:eastAsia="zh-CN"/>
        </w:rPr>
        <w:t>二、成都高投电子信息产业集团有限公司下属企业</w:t>
      </w:r>
    </w:p>
    <w:p w14:paraId="3288974E">
      <w:pPr>
        <w:keepNext w:val="0"/>
        <w:keepLines w:val="0"/>
        <w:pageBreakBefore w:val="0"/>
        <w:widowControl w:val="0"/>
        <w:kinsoku/>
        <w:wordWrap/>
        <w:overflowPunct/>
        <w:topLinePunct w:val="0"/>
        <w:autoSpaceDE/>
        <w:autoSpaceDN/>
        <w:bidi w:val="0"/>
        <w:adjustRightInd/>
        <w:snapToGrid/>
        <w:spacing w:after="0" w:line="480" w:lineRule="exact"/>
        <w:ind w:firstLine="0" w:firstLineChars="0"/>
        <w:textAlignment w:val="auto"/>
        <w:outlineLvl w:val="1"/>
        <w:rPr>
          <w:rFonts w:hint="eastAsia" w:ascii="方正黑体" w:hAnsi="方正黑体" w:eastAsia="方正黑体" w:cs="方正黑体"/>
          <w:sz w:val="24"/>
          <w:szCs w:val="24"/>
          <w:lang w:val="en-US" w:eastAsia="zh-CN"/>
        </w:rPr>
      </w:pPr>
      <w:r>
        <w:rPr>
          <w:rFonts w:hint="eastAsia" w:ascii="方正黑体" w:hAnsi="方正黑体" w:eastAsia="方正黑体" w:cs="方正黑体"/>
          <w:sz w:val="24"/>
          <w:szCs w:val="24"/>
          <w:lang w:val="en-US" w:eastAsia="zh-CN"/>
        </w:rPr>
        <w:t>1.成都高新愿景集成电路有限公司：</w:t>
      </w:r>
    </w:p>
    <w:p w14:paraId="2D790141">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default" w:ascii="Times New Roman" w:hAnsi="Times New Roman" w:eastAsia="方正仿宋" w:cs="Times New Roman"/>
          <w:sz w:val="24"/>
          <w:szCs w:val="24"/>
          <w:lang w:val="en-US" w:eastAsia="zh-CN"/>
        </w:rPr>
      </w:pPr>
      <w:r>
        <w:rPr>
          <w:rFonts w:hint="default" w:ascii="Times New Roman" w:hAnsi="Times New Roman" w:eastAsia="方正仿宋" w:cs="Times New Roman"/>
          <w:sz w:val="24"/>
          <w:szCs w:val="24"/>
          <w:lang w:val="en-US" w:eastAsia="zh-CN"/>
        </w:rPr>
        <w:t>成都高新愿景集成电路有限公司是电子集团全资设立的半导体产业服务平台公司，致力于提升西部地区泛半导体产业综合服务能力，助力构建自主可控的韧性供应链。公司围绕华虹、京东方等链主企业需求，聚焦集成电路设计、制造、封装测试等关键环节，为相关企业提供从研发到量产的全流程产业配套服务。公司目前投资运营芯火、芯火微测两家子公司，与广钢气体合资成立半导体材料公司，与德国梅塞尔合资成立气体公司，持续布局产业链关键环节。产业链协同方面，公司对接中芯国际、华虹等行业龙头搭建专属服务通道，联合京东方、华为等企业推进国产芯片测试平台，协同万里眼、御渡等设备厂商推进设备配套，并联动电子科大、川大等高校开展产教融合与技术攻关。</w:t>
      </w:r>
    </w:p>
    <w:p w14:paraId="2D5D1489">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Times New Roman" w:hAnsi="Times New Roman" w:eastAsia="方正仿宋_GBK"/>
          <w:sz w:val="24"/>
          <w:szCs w:val="24"/>
          <w:lang w:val="en-US" w:eastAsia="zh-CN"/>
        </w:rPr>
      </w:pPr>
    </w:p>
    <w:p w14:paraId="4FC04818">
      <w:pPr>
        <w:keepNext w:val="0"/>
        <w:keepLines w:val="0"/>
        <w:pageBreakBefore w:val="0"/>
        <w:widowControl w:val="0"/>
        <w:kinsoku/>
        <w:wordWrap/>
        <w:overflowPunct/>
        <w:topLinePunct w:val="0"/>
        <w:autoSpaceDE/>
        <w:autoSpaceDN/>
        <w:bidi w:val="0"/>
        <w:adjustRightInd/>
        <w:snapToGrid/>
        <w:spacing w:after="0" w:line="480" w:lineRule="exact"/>
        <w:ind w:firstLine="0" w:firstLineChars="0"/>
        <w:textAlignment w:val="auto"/>
        <w:outlineLvl w:val="0"/>
        <w:rPr>
          <w:rFonts w:hint="eastAsia" w:ascii="Times New Roman" w:hAnsi="Times New Roman" w:eastAsia="方正仿宋_GBK"/>
          <w:sz w:val="24"/>
          <w:szCs w:val="24"/>
          <w:lang w:val="en-US" w:eastAsia="zh-CN"/>
        </w:rPr>
      </w:pPr>
      <w:r>
        <w:rPr>
          <w:rFonts w:hint="eastAsia" w:ascii="方正黑体" w:hAnsi="方正黑体" w:eastAsia="方正黑体" w:cs="方正黑体"/>
          <w:sz w:val="32"/>
          <w:szCs w:val="32"/>
          <w:lang w:val="en-US" w:eastAsia="zh-CN"/>
        </w:rPr>
        <w:t>三、成都高新策源投资集团有限公司及其下属企业</w:t>
      </w:r>
    </w:p>
    <w:p w14:paraId="5023B598">
      <w:pPr>
        <w:keepNext w:val="0"/>
        <w:keepLines w:val="0"/>
        <w:pageBreakBefore w:val="0"/>
        <w:widowControl w:val="0"/>
        <w:kinsoku/>
        <w:wordWrap/>
        <w:overflowPunct/>
        <w:topLinePunct w:val="0"/>
        <w:autoSpaceDE/>
        <w:autoSpaceDN/>
        <w:bidi w:val="0"/>
        <w:adjustRightInd/>
        <w:snapToGrid/>
        <w:spacing w:after="0" w:line="480" w:lineRule="exact"/>
        <w:ind w:firstLine="0" w:firstLineChars="0"/>
        <w:textAlignment w:val="auto"/>
        <w:outlineLvl w:val="1"/>
        <w:rPr>
          <w:rFonts w:hint="default" w:ascii="方正黑体" w:hAnsi="方正黑体" w:eastAsia="方正黑体" w:cs="方正黑体"/>
          <w:sz w:val="24"/>
          <w:szCs w:val="24"/>
          <w:lang w:val="en-US" w:eastAsia="zh-CN"/>
        </w:rPr>
      </w:pPr>
      <w:r>
        <w:rPr>
          <w:rFonts w:hint="eastAsia" w:ascii="方正黑体" w:hAnsi="方正黑体" w:eastAsia="方正黑体" w:cs="方正黑体"/>
          <w:sz w:val="24"/>
          <w:szCs w:val="24"/>
          <w:lang w:val="en-US" w:eastAsia="zh-CN"/>
        </w:rPr>
        <w:t>1.</w:t>
      </w:r>
      <w:r>
        <w:rPr>
          <w:rFonts w:hint="default" w:ascii="方正黑体" w:hAnsi="方正黑体" w:eastAsia="方正黑体" w:cs="方正黑体"/>
          <w:sz w:val="24"/>
          <w:szCs w:val="24"/>
          <w:lang w:val="en-US" w:eastAsia="zh-CN"/>
        </w:rPr>
        <w:t>成都高新策源投资集团有限公司</w:t>
      </w:r>
      <w:r>
        <w:rPr>
          <w:rFonts w:hint="eastAsia" w:ascii="方正黑体" w:hAnsi="方正黑体" w:eastAsia="方正黑体" w:cs="方正黑体"/>
          <w:sz w:val="24"/>
          <w:szCs w:val="24"/>
          <w:lang w:val="en-US" w:eastAsia="zh-CN"/>
        </w:rPr>
        <w:t>：</w:t>
      </w:r>
    </w:p>
    <w:p w14:paraId="5ED0A649">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default" w:ascii="Times New Roman" w:hAnsi="Times New Roman" w:eastAsia="方正仿宋" w:cs="Times New Roman"/>
          <w:sz w:val="24"/>
          <w:szCs w:val="24"/>
          <w:lang w:val="en-US" w:eastAsia="zh-CN"/>
        </w:rPr>
      </w:pPr>
      <w:r>
        <w:rPr>
          <w:rFonts w:hint="default" w:ascii="Times New Roman" w:hAnsi="Times New Roman" w:eastAsia="方正仿宋" w:cs="Times New Roman"/>
          <w:sz w:val="24"/>
          <w:szCs w:val="24"/>
          <w:lang w:val="en-US" w:eastAsia="zh-CN"/>
        </w:rPr>
        <w:t>成都高新策源投资集团有限公司（以下简称策源资本）成立于2022年8月，是成都高新投资集团有限公司全资设立的一级子集团，注册资本100亿元。策源资本作为成都高新区重点搭建的产业投资平台，承载着打造和专业化运营高新区3,000亿元产业基金群的重要使命。策源资本坚持守正创新，贯彻制造业强市战略，以扎实推进产业建圈强链为导向，围绕电子信息、医药健康和数字经济等成都高新区三大主导特色优势产业，聚焦战略性新兴产业、未来产业，助力构建</w:t>
      </w:r>
      <w:r>
        <w:rPr>
          <w:rFonts w:hint="eastAsia" w:ascii="方正仿宋" w:hAnsi="方正仿宋" w:eastAsia="方正仿宋" w:cs="方正仿宋"/>
          <w:sz w:val="24"/>
          <w:szCs w:val="24"/>
          <w:lang w:val="en-US" w:eastAsia="zh-CN"/>
        </w:rPr>
        <w:t>“</w:t>
      </w:r>
      <w:r>
        <w:rPr>
          <w:rFonts w:hint="default" w:ascii="Times New Roman" w:hAnsi="Times New Roman" w:eastAsia="方正仿宋" w:cs="Times New Roman"/>
          <w:sz w:val="24"/>
          <w:szCs w:val="24"/>
          <w:lang w:val="en-US" w:eastAsia="zh-CN"/>
        </w:rPr>
        <w:t>3+6+6</w:t>
      </w:r>
      <w:r>
        <w:rPr>
          <w:rFonts w:hint="eastAsia" w:ascii="方正仿宋" w:hAnsi="方正仿宋" w:eastAsia="方正仿宋" w:cs="方正仿宋"/>
          <w:sz w:val="24"/>
          <w:szCs w:val="24"/>
          <w:lang w:val="en-US" w:eastAsia="zh-CN"/>
        </w:rPr>
        <w:t>”现代</w:t>
      </w:r>
      <w:r>
        <w:rPr>
          <w:rFonts w:hint="default" w:ascii="Times New Roman" w:hAnsi="Times New Roman" w:eastAsia="方正仿宋" w:cs="Times New Roman"/>
          <w:sz w:val="24"/>
          <w:szCs w:val="24"/>
          <w:lang w:val="en-US" w:eastAsia="zh-CN"/>
        </w:rPr>
        <w:t>化产业体系，目前已形成产业基金、产业投资、产业研究、产业服务四大业务板块，打造国有产业资本促进产业高质量发展的双循环模式。</w:t>
      </w:r>
    </w:p>
    <w:p w14:paraId="4144ACC5">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ascii="方正仿宋" w:hAnsi="方正仿宋" w:eastAsia="方正仿宋" w:cs="方正仿宋"/>
          <w:sz w:val="24"/>
          <w:szCs w:val="24"/>
          <w:lang w:val="en-US" w:eastAsia="zh-CN"/>
        </w:rPr>
      </w:pPr>
      <w:r>
        <w:rPr>
          <w:rFonts w:hint="default" w:ascii="Times New Roman" w:hAnsi="Times New Roman" w:eastAsia="方正仿宋" w:cs="Times New Roman"/>
          <w:sz w:val="24"/>
          <w:szCs w:val="24"/>
          <w:lang w:val="en-US" w:eastAsia="zh-CN"/>
        </w:rPr>
        <w:t>策源资本已接连斩获清科、投中、融中、母基金研究中心等多项荣誉，以实际行动吹响高质量发展号角。未来，策源资本将笃</w:t>
      </w:r>
      <w:r>
        <w:rPr>
          <w:rFonts w:hint="eastAsia" w:ascii="方正仿宋" w:hAnsi="方正仿宋" w:eastAsia="方正仿宋" w:cs="方正仿宋"/>
          <w:sz w:val="24"/>
          <w:szCs w:val="24"/>
          <w:lang w:val="en-US" w:eastAsia="zh-CN"/>
        </w:rPr>
        <w:t>定“发展高科技、实现产业化”</w:t>
      </w:r>
      <w:r>
        <w:rPr>
          <w:rFonts w:hint="default" w:ascii="Times New Roman" w:hAnsi="Times New Roman" w:eastAsia="方正仿宋" w:cs="Times New Roman"/>
          <w:sz w:val="24"/>
          <w:szCs w:val="24"/>
          <w:lang w:val="en-US" w:eastAsia="zh-CN"/>
        </w:rPr>
        <w:t>的初心，策动未来、源起高新，在深度融入成都高新区高质</w:t>
      </w:r>
      <w:r>
        <w:rPr>
          <w:rFonts w:hint="eastAsia" w:ascii="方正仿宋" w:hAnsi="方正仿宋" w:eastAsia="方正仿宋" w:cs="方正仿宋"/>
          <w:sz w:val="24"/>
          <w:szCs w:val="24"/>
          <w:lang w:val="en-US" w:eastAsia="zh-CN"/>
        </w:rPr>
        <w:t>量发展大局中秉承“促产业、创品牌、造生态”的发展定位，放眼世界，着力构建产业基金生态、打造产业投资高地、共创产业发展未来，力争成为基金生态的专业构建者、产业发展的专业投资者和科技创新的引导推动者。</w:t>
      </w:r>
    </w:p>
    <w:p w14:paraId="3E337750">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ascii="Times New Roman" w:hAnsi="Times New Roman" w:eastAsia="方正仿宋_GBK"/>
          <w:sz w:val="24"/>
          <w:szCs w:val="24"/>
          <w:lang w:val="en-US" w:eastAsia="zh-CN"/>
        </w:rPr>
      </w:pPr>
    </w:p>
    <w:p w14:paraId="4BA45BAC">
      <w:pPr>
        <w:keepNext w:val="0"/>
        <w:keepLines w:val="0"/>
        <w:pageBreakBefore w:val="0"/>
        <w:widowControl w:val="0"/>
        <w:numPr>
          <w:ilvl w:val="0"/>
          <w:numId w:val="0"/>
        </w:numPr>
        <w:kinsoku/>
        <w:wordWrap/>
        <w:overflowPunct/>
        <w:topLinePunct w:val="0"/>
        <w:autoSpaceDE/>
        <w:autoSpaceDN/>
        <w:bidi w:val="0"/>
        <w:adjustRightInd/>
        <w:snapToGrid/>
        <w:spacing w:after="0" w:line="480" w:lineRule="exact"/>
        <w:ind w:left="0" w:leftChars="0" w:firstLine="0" w:firstLineChars="0"/>
        <w:textAlignment w:val="auto"/>
        <w:outlineLvl w:val="1"/>
        <w:rPr>
          <w:rFonts w:hint="eastAsia" w:ascii="方正黑体" w:hAnsi="方正黑体" w:eastAsia="方正黑体" w:cs="方正黑体"/>
          <w:sz w:val="24"/>
          <w:szCs w:val="24"/>
          <w:lang w:val="en-US" w:eastAsia="zh-CN"/>
        </w:rPr>
      </w:pPr>
      <w:r>
        <w:rPr>
          <w:rFonts w:hint="eastAsia" w:ascii="方正黑体" w:hAnsi="方正黑体" w:eastAsia="方正黑体" w:cs="方正黑体"/>
          <w:sz w:val="24"/>
          <w:szCs w:val="24"/>
          <w:lang w:val="en-US" w:eastAsia="zh-CN"/>
        </w:rPr>
        <w:t>2.</w:t>
      </w:r>
      <w:r>
        <w:rPr>
          <w:rFonts w:hint="default" w:ascii="方正黑体" w:hAnsi="方正黑体" w:eastAsia="方正黑体" w:cs="方正黑体"/>
          <w:sz w:val="24"/>
          <w:szCs w:val="24"/>
          <w:lang w:val="en-US" w:eastAsia="zh-CN"/>
        </w:rPr>
        <w:t>成都高新</w:t>
      </w:r>
      <w:r>
        <w:rPr>
          <w:rFonts w:hint="eastAsia" w:ascii="方正黑体" w:hAnsi="方正黑体" w:eastAsia="方正黑体" w:cs="方正黑体"/>
          <w:sz w:val="24"/>
          <w:szCs w:val="24"/>
          <w:lang w:val="en-US" w:eastAsia="zh-CN"/>
        </w:rPr>
        <w:t>新经济创业投资有限</w:t>
      </w:r>
      <w:r>
        <w:rPr>
          <w:rFonts w:hint="default" w:ascii="方正黑体" w:hAnsi="方正黑体" w:eastAsia="方正黑体" w:cs="方正黑体"/>
          <w:sz w:val="24"/>
          <w:szCs w:val="24"/>
          <w:lang w:val="en-US" w:eastAsia="zh-CN"/>
        </w:rPr>
        <w:t>公司</w:t>
      </w:r>
      <w:r>
        <w:rPr>
          <w:rFonts w:hint="eastAsia" w:ascii="方正黑体" w:hAnsi="方正黑体" w:eastAsia="方正黑体" w:cs="方正黑体"/>
          <w:sz w:val="24"/>
          <w:szCs w:val="24"/>
          <w:lang w:val="en-US" w:eastAsia="zh-CN"/>
        </w:rPr>
        <w:t>：</w:t>
      </w:r>
    </w:p>
    <w:p w14:paraId="0DD41C0B">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default" w:ascii="Times New Roman" w:hAnsi="Times New Roman" w:eastAsia="方正仿宋_GBK"/>
          <w:sz w:val="24"/>
          <w:szCs w:val="24"/>
          <w:lang w:val="en-US" w:eastAsia="zh-CN"/>
        </w:rPr>
      </w:pPr>
      <w:r>
        <w:rPr>
          <w:rFonts w:hint="default" w:ascii="Times New Roman" w:hAnsi="Times New Roman" w:eastAsia="方正仿宋_GBK"/>
          <w:sz w:val="24"/>
          <w:szCs w:val="24"/>
          <w:lang w:val="en-US" w:eastAsia="zh-CN"/>
        </w:rPr>
        <w:t>策源资本下设成都高新新经济创业投资有限公司（以下简称新经济创投，中国证券投资基金业协会备案编号P1072349），作为主要承担成都高新区投资基金管理工作的主体。新经济创投成立于2018年10月，注册资本金50亿元。新经济创投以市场化的股权投资业务为核心，积极布局新兴行业细分领域优秀标的，与被投企业共同成长，创造良好的经济效益和社会效益。</w:t>
      </w:r>
    </w:p>
    <w:p w14:paraId="02A9C874">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Times New Roman" w:hAnsi="Times New Roman" w:eastAsia="方正仿宋_GBK"/>
          <w:sz w:val="24"/>
          <w:szCs w:val="24"/>
          <w:lang w:val="en-US" w:eastAsia="zh-CN"/>
        </w:rPr>
      </w:pPr>
    </w:p>
    <w:p w14:paraId="35FBDB17">
      <w:pPr>
        <w:keepNext w:val="0"/>
        <w:keepLines w:val="0"/>
        <w:pageBreakBefore w:val="0"/>
        <w:widowControl w:val="0"/>
        <w:kinsoku/>
        <w:wordWrap/>
        <w:overflowPunct/>
        <w:topLinePunct w:val="0"/>
        <w:autoSpaceDE/>
        <w:autoSpaceDN/>
        <w:bidi w:val="0"/>
        <w:adjustRightInd/>
        <w:snapToGrid/>
        <w:spacing w:after="0" w:line="480" w:lineRule="exact"/>
        <w:ind w:firstLine="0" w:firstLineChars="0"/>
        <w:textAlignment w:val="auto"/>
        <w:outlineLvl w:val="0"/>
        <w:rPr>
          <w:rFonts w:hint="eastAsia" w:ascii="Times New Roman" w:hAnsi="Times New Roman" w:eastAsia="方正仿宋_GBK"/>
          <w:sz w:val="24"/>
          <w:szCs w:val="24"/>
          <w:lang w:val="en-US" w:eastAsia="zh-CN"/>
        </w:rPr>
      </w:pPr>
      <w:r>
        <w:rPr>
          <w:rFonts w:hint="eastAsia" w:ascii="方正黑体" w:hAnsi="方正黑体" w:eastAsia="方正黑体" w:cs="方正黑体"/>
          <w:sz w:val="32"/>
          <w:szCs w:val="32"/>
          <w:lang w:val="en-US" w:eastAsia="zh-CN"/>
        </w:rPr>
        <w:t>四、成都高新发展股份有限公司及其下属企业</w:t>
      </w:r>
    </w:p>
    <w:p w14:paraId="7C15644D">
      <w:pPr>
        <w:keepNext w:val="0"/>
        <w:keepLines w:val="0"/>
        <w:pageBreakBefore w:val="0"/>
        <w:widowControl w:val="0"/>
        <w:kinsoku/>
        <w:wordWrap/>
        <w:overflowPunct/>
        <w:topLinePunct w:val="0"/>
        <w:autoSpaceDE/>
        <w:autoSpaceDN/>
        <w:bidi w:val="0"/>
        <w:adjustRightInd/>
        <w:snapToGrid/>
        <w:spacing w:after="0" w:line="480" w:lineRule="exact"/>
        <w:ind w:firstLine="0" w:firstLineChars="0"/>
        <w:textAlignment w:val="auto"/>
        <w:outlineLvl w:val="1"/>
        <w:rPr>
          <w:rFonts w:hint="default" w:ascii="方正黑体" w:hAnsi="方正黑体" w:eastAsia="方正黑体" w:cs="方正黑体"/>
          <w:sz w:val="24"/>
          <w:szCs w:val="24"/>
          <w:lang w:val="en-US" w:eastAsia="zh-CN"/>
        </w:rPr>
      </w:pPr>
      <w:r>
        <w:rPr>
          <w:rFonts w:hint="eastAsia" w:ascii="方正黑体" w:hAnsi="方正黑体" w:eastAsia="方正黑体" w:cs="方正黑体"/>
          <w:sz w:val="24"/>
          <w:szCs w:val="24"/>
          <w:lang w:val="en-US" w:eastAsia="zh-CN"/>
        </w:rPr>
        <w:t>1.</w:t>
      </w:r>
      <w:r>
        <w:rPr>
          <w:rFonts w:hint="default" w:ascii="方正黑体" w:hAnsi="方正黑体" w:eastAsia="方正黑体" w:cs="方正黑体"/>
          <w:sz w:val="24"/>
          <w:szCs w:val="24"/>
          <w:lang w:val="en-US" w:eastAsia="zh-CN"/>
        </w:rPr>
        <w:t>成都高新发展股份有限公司</w:t>
      </w:r>
      <w:r>
        <w:rPr>
          <w:rFonts w:hint="eastAsia" w:ascii="方正黑体" w:hAnsi="方正黑体" w:eastAsia="方正黑体" w:cs="方正黑体"/>
          <w:sz w:val="24"/>
          <w:szCs w:val="24"/>
          <w:lang w:val="en-US" w:eastAsia="zh-CN"/>
        </w:rPr>
        <w:t>：</w:t>
      </w:r>
    </w:p>
    <w:p w14:paraId="173279C6">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default" w:ascii="Times New Roman" w:hAnsi="Times New Roman" w:eastAsia="方正仿宋" w:cs="Times New Roman"/>
          <w:sz w:val="24"/>
          <w:szCs w:val="24"/>
          <w:lang w:val="en-US" w:eastAsia="zh-CN"/>
        </w:rPr>
      </w:pPr>
      <w:r>
        <w:rPr>
          <w:rFonts w:hint="default" w:ascii="Times New Roman" w:hAnsi="Times New Roman" w:eastAsia="方正仿宋" w:cs="Times New Roman"/>
          <w:sz w:val="24"/>
          <w:szCs w:val="24"/>
          <w:lang w:val="en-US" w:eastAsia="zh-CN"/>
        </w:rPr>
        <w:t>成都高新发展股份有限公司（证券代码：000628）1992年由成都高新技术产业开发区管理委员会等4家单位共同发起设立，是国家高新技术产业开发区中第一批股份制试点企业，也是国家科委、国家体改委在全国进行科技与经济相结合的首家股份制试点企业。1996年，公司股票在深圳证券交易所挂牌上市，被纳入深证成指成分股，入选中证1000指数，拥有AA+主体信用评级。截止到2025年末，高新发展资产总额125亿元，2025年实现营业收入49.8亿元。作为高新区下属国有上市企业，高新发展</w:t>
      </w:r>
      <w:r>
        <w:rPr>
          <w:rFonts w:hint="eastAsia" w:ascii="方正仿宋" w:hAnsi="方正仿宋" w:eastAsia="方正仿宋" w:cs="方正仿宋"/>
          <w:sz w:val="24"/>
          <w:szCs w:val="24"/>
          <w:lang w:val="en-US" w:eastAsia="zh-CN"/>
        </w:rPr>
        <w:t>秉持“发展科技实业，践行建圈强链”使命，坚定</w:t>
      </w:r>
      <w:r>
        <w:rPr>
          <w:rFonts w:hint="default" w:ascii="Times New Roman" w:hAnsi="Times New Roman" w:eastAsia="方正仿宋" w:cs="Times New Roman"/>
          <w:sz w:val="24"/>
          <w:szCs w:val="24"/>
          <w:lang w:val="en-US" w:eastAsia="zh-CN"/>
        </w:rPr>
        <w:t>科技战略转型，为成都高新区科技产业高质量发展，加快建设世界领先科技园区提供有力支撑。</w:t>
      </w:r>
    </w:p>
    <w:p w14:paraId="36B1F01D">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方正仿宋_GBK"/>
          <w:sz w:val="24"/>
          <w:szCs w:val="24"/>
          <w:lang w:val="en-US" w:eastAsia="zh-CN"/>
        </w:rPr>
      </w:pPr>
    </w:p>
    <w:p w14:paraId="24608F88">
      <w:pPr>
        <w:keepNext w:val="0"/>
        <w:keepLines w:val="0"/>
        <w:pageBreakBefore w:val="0"/>
        <w:widowControl w:val="0"/>
        <w:kinsoku/>
        <w:wordWrap/>
        <w:overflowPunct/>
        <w:topLinePunct w:val="0"/>
        <w:autoSpaceDE/>
        <w:autoSpaceDN/>
        <w:bidi w:val="0"/>
        <w:adjustRightInd/>
        <w:snapToGrid/>
        <w:spacing w:after="0" w:line="480" w:lineRule="exact"/>
        <w:textAlignment w:val="auto"/>
        <w:outlineLvl w:val="1"/>
        <w:rPr>
          <w:rFonts w:hint="default" w:ascii="方正黑体" w:hAnsi="方正黑体" w:eastAsia="方正黑体" w:cs="方正黑体"/>
          <w:sz w:val="24"/>
          <w:szCs w:val="24"/>
          <w:lang w:val="en-US" w:eastAsia="zh-CN"/>
        </w:rPr>
      </w:pPr>
      <w:r>
        <w:rPr>
          <w:rFonts w:hint="eastAsia" w:ascii="方正黑体" w:hAnsi="方正黑体" w:eastAsia="方正黑体" w:cs="方正黑体"/>
          <w:sz w:val="24"/>
          <w:szCs w:val="24"/>
          <w:lang w:val="en-US" w:eastAsia="zh-CN"/>
        </w:rPr>
        <w:t>2.</w:t>
      </w:r>
      <w:r>
        <w:rPr>
          <w:rFonts w:hint="default" w:ascii="方正黑体" w:hAnsi="方正黑体" w:eastAsia="方正黑体" w:cs="方正黑体"/>
          <w:sz w:val="24"/>
          <w:szCs w:val="24"/>
          <w:lang w:val="en-US" w:eastAsia="zh-CN"/>
        </w:rPr>
        <w:t>成都森未科技有限公司</w:t>
      </w:r>
      <w:r>
        <w:rPr>
          <w:rFonts w:hint="eastAsia" w:ascii="方正黑体" w:hAnsi="方正黑体" w:eastAsia="方正黑体" w:cs="方正黑体"/>
          <w:sz w:val="24"/>
          <w:szCs w:val="24"/>
          <w:lang w:val="en-US" w:eastAsia="zh-CN"/>
        </w:rPr>
        <w:t>：</w:t>
      </w:r>
    </w:p>
    <w:p w14:paraId="799350EE">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default" w:ascii="Times New Roman" w:hAnsi="Times New Roman" w:eastAsia="方正仿宋_GBK"/>
          <w:sz w:val="24"/>
          <w:szCs w:val="24"/>
          <w:lang w:val="en-US" w:eastAsia="zh-CN"/>
        </w:rPr>
      </w:pPr>
      <w:r>
        <w:rPr>
          <w:rFonts w:hint="default" w:ascii="Times New Roman" w:hAnsi="Times New Roman" w:eastAsia="方正仿宋" w:cs="Times New Roman"/>
          <w:sz w:val="24"/>
          <w:szCs w:val="24"/>
          <w:lang w:val="en-US" w:eastAsia="zh-CN"/>
        </w:rPr>
        <w:t>成都森未科技有限公司（以下简称森未科技）成立于2017年7月，注册资本1261.05万元。森未科技是国家专精特新</w:t>
      </w:r>
      <w:r>
        <w:rPr>
          <w:rFonts w:hint="eastAsia" w:ascii="方正仿宋" w:hAnsi="方正仿宋" w:eastAsia="方正仿宋" w:cs="方正仿宋"/>
          <w:sz w:val="24"/>
          <w:szCs w:val="24"/>
          <w:lang w:val="en-US" w:eastAsia="zh-CN"/>
        </w:rPr>
        <w:t>重点“小巨人”企业、国家高</w:t>
      </w:r>
      <w:r>
        <w:rPr>
          <w:rFonts w:hint="default" w:ascii="Times New Roman" w:hAnsi="Times New Roman" w:eastAsia="方正仿宋" w:cs="Times New Roman"/>
          <w:sz w:val="24"/>
          <w:szCs w:val="24"/>
          <w:lang w:val="en-US" w:eastAsia="zh-CN"/>
        </w:rPr>
        <w:t>新技术企业、四川省企业技术中心、成都市集成电路设计企业、成都市高新区瞪羚企业、成都市新经济双百企业。森未科技核心技术团队长期专注于功率半导体器件研发，已累计取得相关知识产权70多项，成功开发不同电压等级的功率器件产品超过100款，是国内功率器件产品线覆盖最广的功率半导体公司之一。其中，自研IGBT芯片全面采用自主设计的沟槽栅+场截止技术，并已广泛应用于工业变频、特种电源、感应加热、新能源发电以及新能源车等多个领域。</w:t>
      </w:r>
    </w:p>
    <w:p w14:paraId="6D9837A3"/>
    <w:p w14:paraId="0A972E07">
      <w:pPr>
        <w:keepNext w:val="0"/>
        <w:keepLines w:val="0"/>
        <w:pageBreakBefore w:val="0"/>
        <w:widowControl w:val="0"/>
        <w:kinsoku/>
        <w:wordWrap/>
        <w:overflowPunct/>
        <w:topLinePunct w:val="0"/>
        <w:autoSpaceDE/>
        <w:autoSpaceDN/>
        <w:bidi w:val="0"/>
        <w:adjustRightInd/>
        <w:snapToGrid/>
        <w:spacing w:after="0" w:line="480" w:lineRule="exact"/>
        <w:ind w:firstLine="0" w:firstLineChars="0"/>
        <w:textAlignment w:val="auto"/>
        <w:outlineLvl w:val="0"/>
        <w:rPr>
          <w:rFonts w:hint="eastAsia" w:ascii="Times New Roman" w:hAnsi="Times New Roman" w:eastAsia="方正仿宋_GBK"/>
          <w:sz w:val="24"/>
          <w:szCs w:val="24"/>
          <w:lang w:val="en-US" w:eastAsia="zh-CN"/>
        </w:rPr>
      </w:pPr>
      <w:r>
        <w:rPr>
          <w:rFonts w:hint="eastAsia" w:ascii="方正黑体" w:hAnsi="方正黑体" w:eastAsia="方正黑体" w:cs="方正黑体"/>
          <w:sz w:val="32"/>
          <w:szCs w:val="32"/>
          <w:lang w:val="en-US" w:eastAsia="zh-CN"/>
        </w:rPr>
        <w:t>五、成都高新区社事投资发展有限公司下属企业</w:t>
      </w:r>
    </w:p>
    <w:p w14:paraId="4EA9728B">
      <w:pPr>
        <w:keepNext w:val="0"/>
        <w:keepLines w:val="0"/>
        <w:pageBreakBefore w:val="0"/>
        <w:widowControl w:val="0"/>
        <w:kinsoku/>
        <w:wordWrap/>
        <w:overflowPunct/>
        <w:topLinePunct w:val="0"/>
        <w:autoSpaceDE/>
        <w:autoSpaceDN/>
        <w:bidi w:val="0"/>
        <w:adjustRightInd/>
        <w:snapToGrid/>
        <w:spacing w:after="0" w:line="279" w:lineRule="auto"/>
        <w:textAlignment w:val="auto"/>
        <w:outlineLvl w:val="1"/>
        <w:rPr>
          <w:rFonts w:hint="eastAsia" w:ascii="方正黑体" w:hAnsi="方正黑体" w:eastAsia="方正黑体" w:cs="方正黑体"/>
          <w:sz w:val="24"/>
          <w:szCs w:val="24"/>
          <w:lang w:val="en-US" w:eastAsia="zh-CN"/>
        </w:rPr>
      </w:pPr>
      <w:r>
        <w:rPr>
          <w:rFonts w:hint="eastAsia" w:ascii="方正黑体" w:hAnsi="方正黑体" w:eastAsia="方正黑体" w:cs="方正黑体"/>
          <w:sz w:val="24"/>
          <w:szCs w:val="24"/>
          <w:lang w:val="en-US" w:eastAsia="zh-CN"/>
        </w:rPr>
        <w:t>1.</w:t>
      </w:r>
      <w:r>
        <w:rPr>
          <w:rFonts w:hint="default" w:ascii="方正黑体" w:hAnsi="方正黑体" w:eastAsia="方正黑体" w:cs="方正黑体"/>
          <w:sz w:val="24"/>
          <w:szCs w:val="24"/>
          <w:lang w:val="en-US" w:eastAsia="zh-CN"/>
        </w:rPr>
        <w:t>成都</w:t>
      </w:r>
      <w:r>
        <w:rPr>
          <w:rFonts w:hint="eastAsia" w:ascii="方正黑体" w:hAnsi="方正黑体" w:eastAsia="方正黑体" w:cs="方正黑体"/>
          <w:sz w:val="24"/>
          <w:szCs w:val="24"/>
          <w:lang w:val="en-US" w:eastAsia="zh-CN"/>
        </w:rPr>
        <w:t>高新区领川置业发展</w:t>
      </w:r>
      <w:r>
        <w:rPr>
          <w:rFonts w:hint="default" w:ascii="方正黑体" w:hAnsi="方正黑体" w:eastAsia="方正黑体" w:cs="方正黑体"/>
          <w:sz w:val="24"/>
          <w:szCs w:val="24"/>
          <w:lang w:val="en-US" w:eastAsia="zh-CN"/>
        </w:rPr>
        <w:t>有限公司</w:t>
      </w:r>
      <w:r>
        <w:rPr>
          <w:rFonts w:hint="eastAsia" w:ascii="方正黑体" w:hAnsi="方正黑体" w:eastAsia="方正黑体" w:cs="方正黑体"/>
          <w:sz w:val="24"/>
          <w:szCs w:val="24"/>
          <w:lang w:val="en-US" w:eastAsia="zh-CN"/>
        </w:rPr>
        <w:t>：</w:t>
      </w:r>
    </w:p>
    <w:p w14:paraId="0C3767F8">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ascii="Times New Roman" w:hAnsi="Times New Roman" w:eastAsia="方正仿宋" w:cs="Times New Roman"/>
          <w:sz w:val="24"/>
          <w:szCs w:val="24"/>
          <w:lang w:val="en-US" w:eastAsia="zh-CN"/>
        </w:rPr>
      </w:pPr>
      <w:r>
        <w:rPr>
          <w:rFonts w:hint="eastAsia" w:ascii="Times New Roman" w:hAnsi="Times New Roman" w:eastAsia="方正仿宋" w:cs="Times New Roman"/>
          <w:sz w:val="24"/>
          <w:szCs w:val="24"/>
          <w:lang w:val="en-US" w:eastAsia="zh-CN"/>
        </w:rPr>
        <w:t>成都高新区社事投资发展有限公司（简称社事投资公司）成立于2019年7月，作为成都高新区功能性国有平台公司，社事投资公司锚定“城市民生事务综合运营商”发展定位，重点聚焦“健康、快乐、安全”三大业务板块，围绕“文体医教农”及其他民生领域开展“投-融-建-管”一体化专业化运营。下属全资子公司成都高新区领川置业发展有限公司成立于2022年12月，专注乡村振兴与片区开发建设，以“建筑工程全场景服务商，乡村振兴全覆盖操盘手”为远景目标。公司紧扣乡村振兴、民生工程两大业务板块，构建“2+5+N”发展格局，业务涵盖农业产业化经营、商业产业招引运营、人居环境提升、水文生态治理、工程规划设计建设等，致力成为乡村振兴系统运营和民生工程代建优质服务商，为青年人才提供广阔干事平台。</w:t>
      </w:r>
    </w:p>
    <w:p w14:paraId="048670F2">
      <w:pPr>
        <w:rPr>
          <w:rFonts w:hint="default" w:ascii="方正黑体" w:hAnsi="方正黑体" w:eastAsia="方正黑体" w:cs="方正黑体"/>
          <w:sz w:val="24"/>
          <w:szCs w:val="24"/>
          <w:lang w:val="en-US" w:eastAsia="zh-CN"/>
        </w:rPr>
      </w:pP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黑体">
    <w:panose1 w:val="03000509000000000000"/>
    <w:charset w:val="86"/>
    <w:family w:val="auto"/>
    <w:pitch w:val="default"/>
    <w:sig w:usb0="00000001" w:usb1="080E0000" w:usb2="00000000" w:usb3="00000000" w:csb0="00040000" w:csb1="00000000"/>
  </w:font>
  <w:font w:name="方正仿宋">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9C97F2">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9286AF">
                          <w:pPr>
                            <w:pStyle w:val="7"/>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09286AF">
                    <w:pPr>
                      <w:pStyle w:val="7"/>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A1037D"/>
    <w:rsid w:val="01DF5C17"/>
    <w:rsid w:val="060C479B"/>
    <w:rsid w:val="089D343C"/>
    <w:rsid w:val="0DB12A49"/>
    <w:rsid w:val="11265E39"/>
    <w:rsid w:val="13DD2D88"/>
    <w:rsid w:val="144638D4"/>
    <w:rsid w:val="1A9A57CA"/>
    <w:rsid w:val="1C6074FD"/>
    <w:rsid w:val="1F1F1647"/>
    <w:rsid w:val="26503A02"/>
    <w:rsid w:val="2A936A71"/>
    <w:rsid w:val="2CA1037D"/>
    <w:rsid w:val="2E541FC9"/>
    <w:rsid w:val="2F436DB7"/>
    <w:rsid w:val="320209E2"/>
    <w:rsid w:val="39F057E5"/>
    <w:rsid w:val="3E9A6446"/>
    <w:rsid w:val="46B73D8A"/>
    <w:rsid w:val="478416D6"/>
    <w:rsid w:val="494263AF"/>
    <w:rsid w:val="56285AAB"/>
    <w:rsid w:val="5E725D3F"/>
    <w:rsid w:val="622221EE"/>
    <w:rsid w:val="646B33FE"/>
    <w:rsid w:val="64FB04B9"/>
    <w:rsid w:val="68EC262D"/>
    <w:rsid w:val="6CE00D48"/>
    <w:rsid w:val="77693043"/>
    <w:rsid w:val="7A2725D7"/>
    <w:rsid w:val="7CC75E49"/>
    <w:rsid w:val="7D697023"/>
    <w:rsid w:val="7EB37C8D"/>
    <w:rsid w:val="7F6B6C00"/>
    <w:rsid w:val="7FEB22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jc w:val="center"/>
      <w:outlineLvl w:val="0"/>
    </w:pPr>
    <w:rPr>
      <w:rFonts w:eastAsia="方正小标宋简体"/>
      <w:b/>
      <w:kern w:val="44"/>
      <w:sz w:val="44"/>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ind w:firstLine="883" w:firstLineChars="200"/>
      <w:outlineLvl w:val="1"/>
    </w:pPr>
    <w:rPr>
      <w:rFonts w:ascii="Arial" w:hAnsi="Arial" w:eastAsia="黑体"/>
      <w:b/>
    </w:rPr>
  </w:style>
  <w:style w:type="character" w:default="1" w:styleId="11">
    <w:name w:val="Default Paragraph Font"/>
    <w:semiHidden/>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0"/>
    <w:pPr>
      <w:spacing w:line="360" w:lineRule="auto"/>
      <w:jc w:val="center"/>
    </w:pPr>
    <w:rPr>
      <w:rFonts w:ascii="宋体" w:hAnsi="宋体"/>
      <w:sz w:val="36"/>
      <w:szCs w:val="28"/>
    </w:rPr>
  </w:style>
  <w:style w:type="paragraph" w:styleId="5">
    <w:name w:val="Body Text Indent"/>
    <w:basedOn w:val="1"/>
    <w:qFormat/>
    <w:uiPriority w:val="0"/>
    <w:pPr>
      <w:spacing w:after="120" w:afterLines="0" w:afterAutospacing="0"/>
      <w:ind w:left="420" w:leftChars="200"/>
    </w:pPr>
  </w:style>
  <w:style w:type="paragraph" w:styleId="6">
    <w:name w:val="Plain Text"/>
    <w:basedOn w:val="1"/>
    <w:qFormat/>
    <w:uiPriority w:val="0"/>
    <w:pPr>
      <w:spacing w:line="590" w:lineRule="exact"/>
    </w:pPr>
    <w:rPr>
      <w:rFonts w:ascii="宋体" w:hAnsi="宋体" w:cs="Courier New" w:eastAsiaTheme="minorEastAsia"/>
      <w:sz w:val="21"/>
      <w:szCs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Body Text First Indent 2"/>
    <w:basedOn w:val="5"/>
    <w:qFormat/>
    <w:uiPriority w:val="0"/>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3899</Words>
  <Characters>4072</Characters>
  <Lines>0</Lines>
  <Paragraphs>0</Paragraphs>
  <TotalTime>3</TotalTime>
  <ScaleCrop>false</ScaleCrop>
  <LinksUpToDate>false</LinksUpToDate>
  <CharactersWithSpaces>4072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2026-09-28T06:34:00Z</dcterms:created>
  <dc:creator>赵鸿琳</dc:creator>
  <cp:lastModifiedBy>赵鸿琳</cp:lastModifiedBy>
  <dcterms:modified xsi:type="dcterms:W3CDTF">2026-09-29T01:13:41Z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7ED18AA4E3734926BCA45B5C8176B359_11</vt:lpwstr>
  </property>
  <property fmtid="{D5CDD505-2E9C-101B-9397-08002B2CF9AE}" pid="4" name="KSOTemplateDocerSaveRecord">
    <vt:lpwstr>eyJoZGlkIjoiMDYzNDJkNTc1Zjg1YmM1MDEzZWNjZmFhOWQxMmM4MjMiLCJ1c2VySWQiOiIyNDQ4NDgwODAifQ==</vt:lpwstr>
  </property>
</Properties>
</file>