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853133">
      <w:pPr>
        <w:jc w:val="center"/>
        <w:rPr>
          <w:rFonts w:ascii="方正小标宋简体" w:eastAsia="方正小标宋简体"/>
          <w:sz w:val="44"/>
          <w:szCs w:val="44"/>
        </w:rPr>
      </w:pPr>
      <w:bookmarkStart w:id="0" w:name="_GoBack"/>
      <w:bookmarkEnd w:id="0"/>
    </w:p>
    <w:p w14:paraId="44ECB488">
      <w:pPr>
        <w:jc w:val="center"/>
        <w:rPr>
          <w:rFonts w:ascii="方正小标宋简体" w:eastAsia="方正小标宋简体"/>
          <w:sz w:val="44"/>
          <w:szCs w:val="44"/>
        </w:rPr>
      </w:pPr>
      <w:r>
        <w:rPr>
          <w:rFonts w:hint="eastAsia" w:ascii="方正小标宋简体" w:eastAsia="方正小标宋简体"/>
          <w:sz w:val="44"/>
          <w:szCs w:val="44"/>
        </w:rPr>
        <w:t>成都都江堰青堰文化旅游发展有限责任公司</w:t>
      </w:r>
    </w:p>
    <w:p w14:paraId="3244EE52">
      <w:pPr>
        <w:jc w:val="center"/>
        <w:rPr>
          <w:rFonts w:ascii="方正小标宋简体" w:eastAsia="方正小标宋简体"/>
          <w:sz w:val="44"/>
          <w:szCs w:val="44"/>
        </w:rPr>
      </w:pPr>
      <w:r>
        <w:rPr>
          <w:rFonts w:hint="eastAsia" w:ascii="方正小标宋简体" w:eastAsia="方正小标宋简体"/>
          <w:sz w:val="44"/>
          <w:szCs w:val="44"/>
        </w:rPr>
        <w:t>2026年度社会化公开招聘工作人员的公告</w:t>
      </w:r>
    </w:p>
    <w:p w14:paraId="0C97ABC7">
      <w:pPr>
        <w:jc w:val="center"/>
        <w:rPr>
          <w:rFonts w:ascii="楷体_GB2312" w:eastAsia="楷体_GB2312"/>
          <w:szCs w:val="32"/>
        </w:rPr>
      </w:pPr>
    </w:p>
    <w:p w14:paraId="492874A4">
      <w:pPr>
        <w:ind w:firstLine="640" w:firstLineChars="200"/>
        <w:jc w:val="both"/>
      </w:pPr>
      <w:r>
        <w:rPr>
          <w:rFonts w:hint="eastAsia"/>
        </w:rPr>
        <w:t>成都都江堰青堰文化旅游发展有限责任公司是都江堰现代文旅融合园区综合投资运营商，主要立足园区文旅资源禀赋，聚焦景区开发运营、低空经济应用场景、数字文旅三大主攻方向，以“投、招、建、管、营”一体化运营体系，致力于打造具有全国影响力的文旅融合公司。</w:t>
      </w:r>
    </w:p>
    <w:p w14:paraId="636358A6">
      <w:pPr>
        <w:ind w:firstLine="640" w:firstLineChars="200"/>
        <w:jc w:val="both"/>
        <w:rPr>
          <w:rFonts w:ascii="黑体" w:hAnsi="黑体" w:eastAsia="黑体"/>
        </w:rPr>
      </w:pPr>
      <w:r>
        <w:rPr>
          <w:rFonts w:ascii="黑体" w:hAnsi="黑体" w:eastAsia="黑体"/>
        </w:rPr>
        <w:t>一、岗位信息</w:t>
      </w:r>
    </w:p>
    <w:p w14:paraId="387A1C03">
      <w:pPr>
        <w:widowControl w:val="0"/>
        <w:ind w:firstLine="640" w:firstLineChars="200"/>
        <w:jc w:val="both"/>
        <w:rPr>
          <w:rFonts w:ascii="黑体" w:hAnsi="黑体" w:eastAsia="黑体"/>
        </w:rPr>
      </w:pPr>
      <w:r>
        <w:t>详见附件</w:t>
      </w:r>
      <w:r>
        <w:rPr>
          <w:rFonts w:hint="eastAsia"/>
        </w:rPr>
        <w:t>1</w:t>
      </w:r>
      <w:r>
        <w:t>。</w:t>
      </w:r>
    </w:p>
    <w:p w14:paraId="5F5BA59C">
      <w:pPr>
        <w:widowControl w:val="0"/>
        <w:ind w:firstLine="640" w:firstLineChars="200"/>
        <w:jc w:val="both"/>
        <w:rPr>
          <w:rFonts w:ascii="黑体" w:hAnsi="黑体" w:eastAsia="黑体"/>
        </w:rPr>
      </w:pPr>
      <w:r>
        <w:rPr>
          <w:rFonts w:ascii="黑体" w:hAnsi="黑体" w:eastAsia="黑体"/>
        </w:rPr>
        <w:t>二、报名时间</w:t>
      </w:r>
    </w:p>
    <w:p w14:paraId="41BCE419">
      <w:pPr>
        <w:widowControl w:val="0"/>
        <w:ind w:firstLine="640" w:firstLineChars="200"/>
        <w:jc w:val="both"/>
        <w:rPr>
          <w:rFonts w:ascii="黑体" w:hAnsi="黑体" w:eastAsia="黑体"/>
        </w:rPr>
      </w:pPr>
      <w:r>
        <w:rPr>
          <w:rFonts w:hint="eastAsia"/>
        </w:rPr>
        <w:t>自公告发布之日至</w:t>
      </w:r>
      <w:r>
        <w:rPr>
          <w:rFonts w:hint="eastAsia"/>
          <w:highlight w:val="none"/>
        </w:rPr>
        <w:t>2026年</w:t>
      </w:r>
      <w:r>
        <w:rPr>
          <w:highlight w:val="none"/>
        </w:rPr>
        <w:t>10</w:t>
      </w:r>
      <w:r>
        <w:rPr>
          <w:rFonts w:hint="eastAsia"/>
          <w:highlight w:val="none"/>
        </w:rPr>
        <w:t>月</w:t>
      </w:r>
      <w:r>
        <w:rPr>
          <w:highlight w:val="none"/>
        </w:rPr>
        <w:t>19</w:t>
      </w:r>
      <w:r>
        <w:rPr>
          <w:rFonts w:hint="eastAsia"/>
          <w:highlight w:val="none"/>
        </w:rPr>
        <w:t>日</w:t>
      </w:r>
      <w:r>
        <w:rPr>
          <w:highlight w:val="none"/>
        </w:rPr>
        <w:t>17:00</w:t>
      </w:r>
      <w:r>
        <w:t>，逾期报名通道关闭，不再受理。</w:t>
      </w:r>
    </w:p>
    <w:p w14:paraId="2835C6E0">
      <w:pPr>
        <w:widowControl w:val="0"/>
        <w:ind w:firstLine="640" w:firstLineChars="200"/>
        <w:jc w:val="both"/>
        <w:rPr>
          <w:rFonts w:ascii="黑体" w:hAnsi="黑体" w:eastAsia="黑体"/>
        </w:rPr>
      </w:pPr>
      <w:r>
        <w:rPr>
          <w:rFonts w:ascii="黑体" w:hAnsi="黑体" w:eastAsia="黑体"/>
        </w:rPr>
        <w:t>三、报名方式</w:t>
      </w:r>
    </w:p>
    <w:p w14:paraId="3A09B06A">
      <w:pPr>
        <w:widowControl w:val="0"/>
        <w:ind w:left="1600" w:leftChars="200" w:hanging="960" w:hangingChars="300"/>
        <w:jc w:val="both"/>
      </w:pPr>
      <w:r>
        <w:rPr>
          <w:rFonts w:hint="eastAsia"/>
        </w:rPr>
        <w:t>1. 本次招聘统一通过线上系统进行报名，报名网址：</w:t>
      </w:r>
    </w:p>
    <w:p w14:paraId="5C8BF63F">
      <w:pPr>
        <w:pStyle w:val="2"/>
        <w:ind w:firstLine="320" w:firstLineChars="100"/>
        <w:rPr>
          <w:rFonts w:hint="eastAsia"/>
        </w:rPr>
      </w:pPr>
      <w:r>
        <w:t>https://xyz.51job.com/consumer/pc/home/index?ctmid=9403646</w:t>
      </w:r>
    </w:p>
    <w:p w14:paraId="5FC98408">
      <w:pPr>
        <w:widowControl w:val="0"/>
        <w:ind w:left="1600" w:leftChars="200" w:hanging="960" w:hangingChars="300"/>
        <w:jc w:val="both"/>
      </w:pPr>
      <w:r>
        <w:rPr>
          <w:rFonts w:hint="eastAsia"/>
        </w:rPr>
        <w:t>（如链接无法正常打开，请尝试更换浏览器</w:t>
      </w:r>
      <w:r>
        <w:rPr>
          <w:rFonts w:hint="eastAsia"/>
        </w:rPr>
        <w:t>，或来电咨询工</w:t>
      </w:r>
    </w:p>
    <w:p w14:paraId="757A9028">
      <w:pPr>
        <w:widowControl w:val="0"/>
        <w:ind w:left="1600" w:leftChars="200" w:hanging="960" w:hangingChars="300"/>
        <w:jc w:val="both"/>
      </w:pPr>
      <w:r>
        <w:rPr>
          <w:rFonts w:hint="eastAsia"/>
        </w:rPr>
        <w:t>作人员），按系统提示内容准确完整填写个人信息进行报</w:t>
      </w:r>
    </w:p>
    <w:p w14:paraId="605C34CD">
      <w:pPr>
        <w:widowControl w:val="0"/>
        <w:ind w:left="1600" w:leftChars="200" w:hanging="960" w:hangingChars="300"/>
        <w:jc w:val="both"/>
      </w:pPr>
      <w:r>
        <w:rPr>
          <w:rFonts w:hint="eastAsia"/>
        </w:rPr>
        <w:t>名。</w:t>
      </w:r>
    </w:p>
    <w:p w14:paraId="1F8C1378">
      <w:pPr>
        <w:widowControl w:val="0"/>
        <w:ind w:firstLine="640" w:firstLineChars="200"/>
        <w:jc w:val="both"/>
      </w:pPr>
      <w:r>
        <w:rPr>
          <w:rFonts w:hint="eastAsia"/>
        </w:rPr>
        <w:t>2. 应聘者在线填写报名表，同时还需上传以下附件资料：《考生诚信承诺》（附件2）、有效居民身份证（含正反面）、各阶段学历证书和学位证书、教育部学籍在线验证报告（请在学信网下载PDF文件）、职称证书等相关证书彩色扫描件（PDF格式）。国（境）外留学归来人员报考的，应出具已取得的教育部相关国（境）外学历学位认证书。</w:t>
      </w:r>
    </w:p>
    <w:p w14:paraId="1718145B">
      <w:pPr>
        <w:widowControl w:val="0"/>
        <w:ind w:firstLine="640" w:firstLineChars="200"/>
        <w:jc w:val="both"/>
      </w:pPr>
      <w:r>
        <w:rPr>
          <w:rFonts w:hint="eastAsia"/>
        </w:rPr>
        <w:t>3. 注意事项：应聘者在报名前，请认真阅读公告要求，每名应聘者仅限申报1个岗位，审慎选择意向岗位填报，一旦投递成功，无法再修改填报意向。本次招聘采取网上报名，不接受现场报名。</w:t>
      </w:r>
    </w:p>
    <w:p w14:paraId="0B2A0249">
      <w:pPr>
        <w:widowControl w:val="0"/>
        <w:ind w:firstLine="640" w:firstLineChars="200"/>
        <w:jc w:val="both"/>
        <w:rPr>
          <w:rFonts w:ascii="黑体" w:hAnsi="黑体" w:eastAsia="黑体"/>
        </w:rPr>
      </w:pPr>
      <w:r>
        <w:rPr>
          <w:rFonts w:ascii="黑体" w:hAnsi="黑体" w:eastAsia="黑体"/>
        </w:rPr>
        <w:t>四、基本要求</w:t>
      </w:r>
    </w:p>
    <w:p w14:paraId="1350724A">
      <w:pPr>
        <w:widowControl w:val="0"/>
        <w:ind w:firstLine="640" w:firstLineChars="200"/>
        <w:jc w:val="both"/>
        <w:rPr>
          <w:rFonts w:ascii="楷体_GB2312" w:hAnsi="黑体" w:eastAsia="楷体_GB2312"/>
        </w:rPr>
      </w:pPr>
      <w:r>
        <w:rPr>
          <w:rFonts w:hint="eastAsia" w:ascii="楷体_GB2312" w:eastAsia="楷体_GB2312"/>
        </w:rPr>
        <w:t>（一）基本要求</w:t>
      </w:r>
    </w:p>
    <w:p w14:paraId="4C3DAD7D">
      <w:pPr>
        <w:widowControl w:val="0"/>
        <w:ind w:firstLine="640" w:firstLineChars="200"/>
        <w:jc w:val="both"/>
        <w:rPr>
          <w:rFonts w:ascii="黑体" w:hAnsi="黑体" w:eastAsia="黑体"/>
        </w:rPr>
      </w:pPr>
      <w:r>
        <w:t>1. 政治素质好、职业素养高、业务能力强、作风品德正。</w:t>
      </w:r>
    </w:p>
    <w:p w14:paraId="1C1D75ED">
      <w:pPr>
        <w:widowControl w:val="0"/>
        <w:ind w:firstLine="640" w:firstLineChars="200"/>
        <w:jc w:val="both"/>
        <w:rPr>
          <w:rFonts w:ascii="黑体" w:hAnsi="黑体" w:eastAsia="黑体"/>
        </w:rPr>
      </w:pPr>
      <w:r>
        <w:t>2. 认同公司企业文化，能够遵守公司各项规章制度、爱岗敬业，具有较强的事业心和责任心；服从组织安排、遵守团队协作规则。</w:t>
      </w:r>
    </w:p>
    <w:p w14:paraId="0A4745B4">
      <w:pPr>
        <w:widowControl w:val="0"/>
        <w:ind w:firstLine="640" w:firstLineChars="200"/>
        <w:jc w:val="both"/>
        <w:rPr>
          <w:rFonts w:ascii="黑体" w:hAnsi="黑体" w:eastAsia="黑体"/>
        </w:rPr>
      </w:pPr>
      <w:r>
        <w:t>3. 遵守国家法律法规，无违法违纪和违反社会公德不良记录；遵守从业、勤勉尽责、公道正派、注重自身作风形象，严格保守商业秘密和工作秘密。</w:t>
      </w:r>
    </w:p>
    <w:p w14:paraId="79850F54">
      <w:pPr>
        <w:widowControl w:val="0"/>
        <w:ind w:firstLine="640" w:firstLineChars="200"/>
        <w:jc w:val="both"/>
        <w:rPr>
          <w:rFonts w:ascii="黑体" w:hAnsi="黑体" w:eastAsia="黑体"/>
        </w:rPr>
      </w:pPr>
      <w:r>
        <w:t>4. 性格积极乐观，思路清晰，具有较强的学习能力和语言文字表达能力，能快速适应工作环境；身心健康，具有良好的心理素质和能够正常履职的身体素质。</w:t>
      </w:r>
    </w:p>
    <w:p w14:paraId="0412BEE6">
      <w:pPr>
        <w:widowControl w:val="0"/>
        <w:ind w:firstLine="640" w:firstLineChars="200"/>
        <w:jc w:val="both"/>
        <w:rPr>
          <w:rFonts w:ascii="楷体_GB2312" w:hAnsi="黑体" w:eastAsia="楷体_GB2312"/>
        </w:rPr>
      </w:pPr>
      <w:r>
        <w:rPr>
          <w:rFonts w:hint="eastAsia" w:ascii="楷体_GB2312" w:eastAsia="楷体_GB2312"/>
        </w:rPr>
        <w:t>（二）禁入情形</w:t>
      </w:r>
    </w:p>
    <w:p w14:paraId="36013B78">
      <w:pPr>
        <w:widowControl w:val="0"/>
        <w:ind w:firstLine="640" w:firstLineChars="200"/>
        <w:jc w:val="both"/>
        <w:rPr>
          <w:rFonts w:ascii="黑体" w:hAnsi="黑体" w:eastAsia="黑体"/>
        </w:rPr>
      </w:pPr>
      <w:r>
        <w:t>有法律法规规定的禁止性情形和违反党规党纪、廉洁从业相关规定的情况，包括但不限于以下情况：</w:t>
      </w:r>
    </w:p>
    <w:p w14:paraId="5191BD3F">
      <w:pPr>
        <w:pStyle w:val="15"/>
        <w:shd w:val="clear" w:color="auto" w:fill="FFFFFF"/>
        <w:adjustRightInd w:val="0"/>
        <w:snapToGrid w:val="0"/>
        <w:spacing w:beforeAutospacing="0" w:afterAutospacing="0" w:line="590" w:lineRule="exact"/>
        <w:ind w:firstLine="640" w:firstLineChars="200"/>
        <w:jc w:val="both"/>
        <w:rPr>
          <w:rFonts w:ascii="Times New Roman" w:hAnsi="Times New Roman" w:eastAsia="仿宋_GB2312"/>
          <w:color w:val="000000" w:themeColor="text1"/>
          <w:kern w:val="2"/>
          <w:sz w:val="32"/>
          <w:szCs w:val="32"/>
          <w14:textFill>
            <w14:solidFill>
              <w14:schemeClr w14:val="tx1"/>
            </w14:solidFill>
          </w14:textFill>
        </w:rPr>
      </w:pPr>
      <w:r>
        <w:rPr>
          <w:rFonts w:ascii="Times New Roman" w:hAnsi="Times New Roman" w:eastAsia="仿宋_GB2312"/>
          <w:color w:val="000000" w:themeColor="text1"/>
          <w:kern w:val="2"/>
          <w:sz w:val="32"/>
          <w:szCs w:val="32"/>
          <w14:textFill>
            <w14:solidFill>
              <w14:schemeClr w14:val="tx1"/>
            </w14:solidFill>
          </w14:textFill>
        </w:rPr>
        <w:t>1.因犯罪受过刑事处罚的；</w:t>
      </w:r>
    </w:p>
    <w:p w14:paraId="36E3CD89">
      <w:pPr>
        <w:pStyle w:val="15"/>
        <w:shd w:val="clear" w:color="auto" w:fill="FFFFFF"/>
        <w:adjustRightInd w:val="0"/>
        <w:snapToGrid w:val="0"/>
        <w:spacing w:beforeAutospacing="0" w:afterAutospacing="0" w:line="590" w:lineRule="exact"/>
        <w:jc w:val="both"/>
        <w:rPr>
          <w:rFonts w:ascii="Times New Roman" w:hAnsi="Times New Roman" w:eastAsia="仿宋_GB2312"/>
          <w:color w:val="000000" w:themeColor="text1"/>
          <w:kern w:val="2"/>
          <w:sz w:val="32"/>
          <w:szCs w:val="32"/>
          <w14:textFill>
            <w14:solidFill>
              <w14:schemeClr w14:val="tx1"/>
            </w14:solidFill>
          </w14:textFill>
        </w:rPr>
      </w:pPr>
      <w:r>
        <w:rPr>
          <w:rFonts w:ascii="Times New Roman" w:hAnsi="Times New Roman" w:eastAsia="仿宋_GB2312"/>
          <w:color w:val="000000" w:themeColor="text1"/>
          <w:kern w:val="2"/>
          <w:sz w:val="32"/>
          <w:szCs w:val="32"/>
          <w14:textFill>
            <w14:solidFill>
              <w14:schemeClr w14:val="tx1"/>
            </w14:solidFill>
          </w14:textFill>
        </w:rPr>
        <w:t>　　2.曾被开除党籍、公职的；</w:t>
      </w:r>
    </w:p>
    <w:p w14:paraId="7BB4A0E4">
      <w:pPr>
        <w:pStyle w:val="15"/>
        <w:shd w:val="clear" w:color="auto" w:fill="FFFFFF"/>
        <w:adjustRightInd w:val="0"/>
        <w:snapToGrid w:val="0"/>
        <w:spacing w:beforeAutospacing="0" w:afterAutospacing="0" w:line="590" w:lineRule="exact"/>
        <w:ind w:firstLine="645"/>
        <w:jc w:val="both"/>
        <w:rPr>
          <w:rFonts w:ascii="Times New Roman" w:hAnsi="Times New Roman" w:eastAsia="仿宋_GB2312"/>
          <w:color w:val="000000" w:themeColor="text1"/>
          <w:kern w:val="2"/>
          <w:sz w:val="32"/>
          <w:szCs w:val="32"/>
          <w14:textFill>
            <w14:solidFill>
              <w14:schemeClr w14:val="tx1"/>
            </w14:solidFill>
          </w14:textFill>
        </w:rPr>
      </w:pPr>
      <w:r>
        <w:rPr>
          <w:rFonts w:ascii="Times New Roman" w:hAnsi="Times New Roman" w:eastAsia="仿宋_GB2312"/>
          <w:color w:val="000000" w:themeColor="text1"/>
          <w:kern w:val="2"/>
          <w:sz w:val="32"/>
          <w:szCs w:val="32"/>
          <w14:textFill>
            <w14:solidFill>
              <w14:schemeClr w14:val="tx1"/>
            </w14:solidFill>
          </w14:textFill>
        </w:rPr>
        <w:t>3.涉嫌违纪违法正在接受有关部门审查调查尚未作出结论的；</w:t>
      </w:r>
    </w:p>
    <w:p w14:paraId="0882107D">
      <w:pPr>
        <w:pStyle w:val="15"/>
        <w:shd w:val="clear" w:color="auto" w:fill="FFFFFF"/>
        <w:adjustRightInd w:val="0"/>
        <w:snapToGrid w:val="0"/>
        <w:spacing w:beforeAutospacing="0" w:afterAutospacing="0" w:line="590" w:lineRule="exact"/>
        <w:ind w:firstLine="645"/>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kern w:val="2"/>
          <w:sz w:val="32"/>
          <w:szCs w:val="32"/>
          <w14:textFill>
            <w14:solidFill>
              <w14:schemeClr w14:val="tx1"/>
            </w14:solidFill>
          </w14:textFill>
        </w:rPr>
        <w:t>4.</w:t>
      </w:r>
      <w:r>
        <w:rPr>
          <w:rFonts w:ascii="Times New Roman" w:hAnsi="Times New Roman" w:eastAsia="仿宋_GB2312"/>
          <w:color w:val="000000" w:themeColor="text1"/>
          <w:sz w:val="32"/>
          <w:szCs w:val="32"/>
          <w14:textFill>
            <w14:solidFill>
              <w14:schemeClr w14:val="tx1"/>
            </w14:solidFill>
          </w14:textFill>
        </w:rPr>
        <w:t>受到党纪政务处分或组织处理等影响期未满或者期满影响使用的；</w:t>
      </w:r>
    </w:p>
    <w:p w14:paraId="57BCCEC2">
      <w:pPr>
        <w:pStyle w:val="15"/>
        <w:shd w:val="clear" w:color="auto" w:fill="FFFFFF"/>
        <w:adjustRightInd w:val="0"/>
        <w:snapToGrid w:val="0"/>
        <w:spacing w:beforeAutospacing="0" w:afterAutospacing="0" w:line="590" w:lineRule="exact"/>
        <w:ind w:firstLine="64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5.被依法列为失信联合惩戒对象的；</w:t>
      </w:r>
    </w:p>
    <w:p w14:paraId="2E18CA1F">
      <w:pPr>
        <w:pStyle w:val="15"/>
        <w:shd w:val="clear" w:color="auto" w:fill="FFFFFF"/>
        <w:adjustRightInd w:val="0"/>
        <w:snapToGrid w:val="0"/>
        <w:spacing w:beforeAutospacing="0" w:afterAutospacing="0" w:line="590" w:lineRule="exact"/>
        <w:ind w:firstLine="640"/>
        <w:jc w:val="both"/>
        <w:rPr>
          <w:rFonts w:ascii="Times New Roman" w:hAnsi="Times New Roman" w:eastAsia="仿宋_GB2312"/>
          <w:color w:val="000000" w:themeColor="text1"/>
          <w:kern w:val="2"/>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6.录用后构成回避关系的；</w:t>
      </w:r>
    </w:p>
    <w:p w14:paraId="38782412">
      <w:pPr>
        <w:pStyle w:val="15"/>
        <w:shd w:val="clear" w:color="auto" w:fill="FFFFFF"/>
        <w:adjustRightInd w:val="0"/>
        <w:snapToGrid w:val="0"/>
        <w:spacing w:beforeAutospacing="0" w:afterAutospacing="0" w:line="590" w:lineRule="exact"/>
        <w:ind w:firstLine="660"/>
        <w:jc w:val="both"/>
        <w:rPr>
          <w:rFonts w:ascii="Times New Roman" w:hAnsi="Times New Roman" w:eastAsia="仿宋_GB2312"/>
          <w:color w:val="000000" w:themeColor="text1"/>
          <w:kern w:val="2"/>
          <w:sz w:val="32"/>
          <w:szCs w:val="32"/>
          <w14:textFill>
            <w14:solidFill>
              <w14:schemeClr w14:val="tx1"/>
            </w14:solidFill>
          </w14:textFill>
        </w:rPr>
      </w:pPr>
      <w:r>
        <w:rPr>
          <w:rFonts w:ascii="Times New Roman" w:hAnsi="Times New Roman" w:eastAsia="仿宋_GB2312"/>
          <w:color w:val="000000" w:themeColor="text1"/>
          <w:kern w:val="2"/>
          <w:sz w:val="32"/>
          <w:szCs w:val="32"/>
          <w14:textFill>
            <w14:solidFill>
              <w14:schemeClr w14:val="tx1"/>
            </w14:solidFill>
          </w14:textFill>
        </w:rPr>
        <w:t>7.</w:t>
      </w:r>
      <w:r>
        <w:rPr>
          <w:rFonts w:hint="eastAsia"/>
        </w:rPr>
        <w:t xml:space="preserve"> </w:t>
      </w:r>
      <w:r>
        <w:rPr>
          <w:rFonts w:hint="eastAsia" w:ascii="Times New Roman" w:hAnsi="Times New Roman" w:eastAsia="仿宋_GB2312"/>
          <w:color w:val="000000" w:themeColor="text1"/>
          <w:sz w:val="32"/>
          <w:szCs w:val="32"/>
          <w14:textFill>
            <w14:solidFill>
              <w14:schemeClr w14:val="tx1"/>
            </w14:solidFill>
          </w14:textFill>
        </w:rPr>
        <w:t>在此前都江堰市属国企组织的公开招聘或国家组织的各级各类招考中被认定有扰乱报名考试秩序、威胁工作人员人身安全、舞弊等行为的</w:t>
      </w:r>
      <w:r>
        <w:rPr>
          <w:rFonts w:ascii="Times New Roman" w:hAnsi="Times New Roman" w:eastAsia="仿宋_GB2312"/>
          <w:color w:val="000000" w:themeColor="text1"/>
          <w:kern w:val="2"/>
          <w:sz w:val="32"/>
          <w:szCs w:val="32"/>
          <w14:textFill>
            <w14:solidFill>
              <w14:schemeClr w14:val="tx1"/>
            </w14:solidFill>
          </w14:textFill>
        </w:rPr>
        <w:t>；</w:t>
      </w:r>
    </w:p>
    <w:p w14:paraId="0752AF12">
      <w:pPr>
        <w:pStyle w:val="15"/>
        <w:shd w:val="clear" w:color="auto" w:fill="FFFFFF"/>
        <w:adjustRightInd w:val="0"/>
        <w:snapToGrid w:val="0"/>
        <w:spacing w:beforeAutospacing="0" w:afterAutospacing="0" w:line="590" w:lineRule="exact"/>
        <w:ind w:firstLine="660"/>
        <w:jc w:val="both"/>
        <w:rPr>
          <w:rFonts w:ascii="Times New Roman" w:hAnsi="Times New Roman" w:eastAsia="仿宋_GB2312"/>
          <w:color w:val="000000" w:themeColor="text1"/>
          <w:kern w:val="2"/>
          <w:sz w:val="32"/>
          <w:szCs w:val="32"/>
          <w14:textFill>
            <w14:solidFill>
              <w14:schemeClr w14:val="tx1"/>
            </w14:solidFill>
          </w14:textFill>
        </w:rPr>
      </w:pPr>
      <w:r>
        <w:rPr>
          <w:rFonts w:ascii="Times New Roman" w:hAnsi="Times New Roman" w:eastAsia="仿宋_GB2312"/>
          <w:color w:val="000000" w:themeColor="text1"/>
          <w:kern w:val="2"/>
          <w:sz w:val="32"/>
          <w:szCs w:val="32"/>
          <w14:textFill>
            <w14:solidFill>
              <w14:schemeClr w14:val="tx1"/>
            </w14:solidFill>
          </w14:textFill>
        </w:rPr>
        <w:t>8.应聘人员伪造、涂改证件、证明，在应聘过程中存在瞒报、谎报、虚报信息影响招聘结果公正性的，在应聘过程中作弊的；</w:t>
      </w:r>
    </w:p>
    <w:p w14:paraId="66BBE112">
      <w:pPr>
        <w:adjustRightInd w:val="0"/>
        <w:snapToGrid w:val="0"/>
        <w:spacing w:line="590" w:lineRule="exact"/>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9.有吸毒史的；</w:t>
      </w:r>
    </w:p>
    <w:p w14:paraId="6927B1D2">
      <w:pPr>
        <w:adjustRightInd w:val="0"/>
        <w:snapToGrid w:val="0"/>
        <w:spacing w:line="590" w:lineRule="exact"/>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10.有明显违背公序良俗或相关信访条例的；</w:t>
      </w:r>
    </w:p>
    <w:p w14:paraId="5A0DF5A8">
      <w:pPr>
        <w:adjustRightInd w:val="0"/>
        <w:snapToGrid w:val="0"/>
        <w:spacing w:line="590" w:lineRule="exact"/>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11.现役军人、在读非应届毕业生、国家定向招录培养人员、与国家签订服务协议且未满服务期限的；</w:t>
      </w:r>
    </w:p>
    <w:p w14:paraId="48C957A7">
      <w:pPr>
        <w:adjustRightInd w:val="0"/>
        <w:snapToGrid w:val="0"/>
        <w:spacing w:line="590" w:lineRule="exact"/>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12.尚处于竞业限制期内的；</w:t>
      </w:r>
    </w:p>
    <w:p w14:paraId="7668CE62">
      <w:pPr>
        <w:adjustRightInd w:val="0"/>
        <w:snapToGrid w:val="0"/>
        <w:spacing w:line="590" w:lineRule="exact"/>
        <w:ind w:firstLine="640" w:firstLineChars="200"/>
        <w:rPr>
          <w:rFonts w:cs="Times New Roman"/>
          <w:color w:val="FF0000"/>
          <w:szCs w:val="32"/>
        </w:rPr>
      </w:pPr>
      <w:r>
        <w:rPr>
          <w:rFonts w:cs="Times New Roman"/>
          <w:color w:val="000000" w:themeColor="text1"/>
          <w:szCs w:val="32"/>
          <w14:textFill>
            <w14:solidFill>
              <w14:schemeClr w14:val="tx1"/>
            </w14:solidFill>
          </w14:textFill>
        </w:rPr>
        <w:t>13.</w:t>
      </w:r>
      <w:r>
        <w:rPr>
          <w:rFonts w:hint="eastAsia" w:cs="Times New Roman"/>
          <w:color w:val="000000" w:themeColor="text1"/>
          <w:szCs w:val="32"/>
          <w14:textFill>
            <w14:solidFill>
              <w14:schemeClr w14:val="tx1"/>
            </w14:solidFill>
          </w14:textFill>
        </w:rPr>
        <w:t>原则上参加过都江堰市属国企以往组织的招聘，通过面试、薪酬商谈等环节放弃的人员，以及离职3年以内的人员不得报名参加招聘</w:t>
      </w:r>
      <w:r>
        <w:rPr>
          <w:rFonts w:cs="Times New Roman"/>
          <w:color w:val="000000" w:themeColor="text1"/>
          <w:szCs w:val="32"/>
          <w14:textFill>
            <w14:solidFill>
              <w14:schemeClr w14:val="tx1"/>
            </w14:solidFill>
          </w14:textFill>
        </w:rPr>
        <w:t>。</w:t>
      </w:r>
      <w:r>
        <w:rPr>
          <w:rFonts w:hint="eastAsia" w:cs="Times New Roman"/>
          <w:color w:val="000000" w:themeColor="text1"/>
          <w:szCs w:val="32"/>
          <w14:textFill>
            <w14:solidFill>
              <w14:schemeClr w14:val="tx1"/>
            </w14:solidFill>
          </w14:textFill>
        </w:rPr>
        <w:t xml:space="preserve"> </w:t>
      </w:r>
      <w:r>
        <w:rPr>
          <w:rFonts w:cs="Times New Roman"/>
          <w:color w:val="000000" w:themeColor="text1"/>
          <w:szCs w:val="32"/>
          <w14:textFill>
            <w14:solidFill>
              <w14:schemeClr w14:val="tx1"/>
            </w14:solidFill>
          </w14:textFill>
        </w:rPr>
        <w:t xml:space="preserve"> </w:t>
      </w:r>
    </w:p>
    <w:p w14:paraId="544D053F">
      <w:pPr>
        <w:widowControl w:val="0"/>
        <w:ind w:firstLine="640" w:firstLineChars="200"/>
        <w:jc w:val="both"/>
        <w:rPr>
          <w:rFonts w:ascii="黑体" w:hAnsi="黑体" w:eastAsia="黑体"/>
        </w:rPr>
      </w:pPr>
      <w:r>
        <w:rPr>
          <w:rFonts w:ascii="黑体" w:hAnsi="黑体" w:eastAsia="黑体"/>
        </w:rPr>
        <w:t>五、招聘程序</w:t>
      </w:r>
    </w:p>
    <w:p w14:paraId="638E5042">
      <w:pPr>
        <w:widowControl w:val="0"/>
        <w:ind w:firstLine="640" w:firstLineChars="200"/>
        <w:jc w:val="both"/>
        <w:rPr>
          <w:rFonts w:ascii="楷体_GB2312" w:eastAsia="楷体_GB2312"/>
        </w:rPr>
      </w:pPr>
      <w:r>
        <w:rPr>
          <w:rFonts w:hint="eastAsia" w:ascii="楷体_GB2312" w:eastAsia="楷体_GB2312"/>
        </w:rPr>
        <w:t>（一）资格审核</w:t>
      </w:r>
    </w:p>
    <w:p w14:paraId="21798B2F">
      <w:pPr>
        <w:widowControl w:val="0"/>
        <w:ind w:firstLine="640" w:firstLineChars="200"/>
        <w:jc w:val="both"/>
      </w:pPr>
      <w:r>
        <w:t>资格审查自报名起始之日同步开展。根据资格条件和职位要求，对报名人员进行资格审查，对审查通过的人员将通过短信、邮件或电话方式通知，请保持通讯畅通。</w:t>
      </w:r>
      <w:r>
        <w:rPr>
          <w:b/>
          <w:bCs/>
        </w:rPr>
        <w:t>对未通过资格审查者，不再另行通知。</w:t>
      </w:r>
      <w:r>
        <w:t>因报名信息填写错误、不完整、不准确导致资格审查不通过或电话无法联系的，责任由报名人员自行承担。资格审查贯穿全过程，在任一环节发现报名人员伪造证件、材料、信息，骗取考试资格或弄虚作假的，一律取消其应聘资格。</w:t>
      </w:r>
    </w:p>
    <w:p w14:paraId="5B2DCA09">
      <w:pPr>
        <w:widowControl w:val="0"/>
        <w:ind w:firstLine="640" w:firstLineChars="200"/>
        <w:jc w:val="both"/>
      </w:pPr>
      <w:r>
        <w:rPr>
          <w:rFonts w:ascii="楷体_GB2312" w:eastAsia="楷体_GB2312"/>
        </w:rPr>
        <w:t>（二）笔试</w:t>
      </w:r>
    </w:p>
    <w:p w14:paraId="6E5E1B16">
      <w:pPr>
        <w:widowControl w:val="0"/>
        <w:ind w:firstLine="640" w:firstLineChars="200"/>
        <w:jc w:val="both"/>
      </w:pPr>
      <w:r>
        <w:t>笔试形式：线上机考。</w:t>
      </w:r>
    </w:p>
    <w:p w14:paraId="6E201093">
      <w:pPr>
        <w:widowControl w:val="0"/>
        <w:ind w:firstLine="640" w:firstLineChars="200"/>
        <w:jc w:val="both"/>
      </w:pPr>
      <w:r>
        <w:t>笔试时间：暂定</w:t>
      </w:r>
      <w:r>
        <w:rPr>
          <w:rFonts w:hint="eastAsia"/>
        </w:rPr>
        <w:t>2026年</w:t>
      </w:r>
      <w:r>
        <w:t>10</w:t>
      </w:r>
      <w:r>
        <w:rPr>
          <w:rFonts w:hint="eastAsia"/>
        </w:rPr>
        <w:t>月末</w:t>
      </w:r>
      <w:r>
        <w:t>（以实际通知时间为准）。</w:t>
      </w:r>
    </w:p>
    <w:p w14:paraId="5576F7AA">
      <w:pPr>
        <w:widowControl w:val="0"/>
        <w:ind w:firstLine="640" w:firstLineChars="200"/>
        <w:jc w:val="both"/>
      </w:pPr>
      <w:r>
        <w:t>笔试科目：《综合能力测试》一科，</w:t>
      </w:r>
      <w:r>
        <w:rPr>
          <w:rFonts w:hint="eastAsia"/>
        </w:rPr>
        <w:t>考试</w:t>
      </w:r>
      <w:r>
        <w:t>内容</w:t>
      </w:r>
      <w:r>
        <w:rPr>
          <w:rFonts w:hint="eastAsia"/>
        </w:rPr>
        <w:t>涵盖</w:t>
      </w:r>
      <w:r>
        <w:t>公共基础知识</w:t>
      </w:r>
      <w:r>
        <w:rPr>
          <w:rFonts w:hint="eastAsia"/>
        </w:rPr>
        <w:t>、行政职业能力测验和</w:t>
      </w:r>
      <w:r>
        <w:t>相关专业知识</w:t>
      </w:r>
      <w:r>
        <w:rPr>
          <w:rFonts w:hint="eastAsia"/>
        </w:rPr>
        <w:t>等</w:t>
      </w:r>
      <w:r>
        <w:t>，卷面满分100分。</w:t>
      </w:r>
    </w:p>
    <w:p w14:paraId="3B997D51">
      <w:pPr>
        <w:widowControl w:val="0"/>
        <w:ind w:firstLine="640" w:firstLineChars="200"/>
        <w:jc w:val="both"/>
      </w:pPr>
      <w:r>
        <w:t>开考比例：同一岗位招聘人数与参加笔试人数的比例原则上不低于1</w:t>
      </w:r>
      <w:r>
        <w:rPr>
          <w:rFonts w:ascii="Cambria Math" w:hAnsi="Cambria Math" w:cs="Cambria Math"/>
        </w:rPr>
        <w:t>∶</w:t>
      </w:r>
      <w:r>
        <w:t>5，对于个别紧缺急需岗位招聘人数与参加笔试人数的比例原则上不低于1</w:t>
      </w:r>
      <w:r>
        <w:rPr>
          <w:rFonts w:ascii="Cambria Math" w:hAnsi="Cambria Math" w:cs="Cambria Math"/>
        </w:rPr>
        <w:t>∶</w:t>
      </w:r>
      <w:r>
        <w:t>3，如个别岗位未达到相关比例要求且岗位特殊需要时，调减该岗位招聘人数直至取消该岗位招聘。</w:t>
      </w:r>
    </w:p>
    <w:p w14:paraId="423B63A3">
      <w:pPr>
        <w:widowControl w:val="0"/>
        <w:ind w:firstLine="640" w:firstLineChars="200"/>
        <w:jc w:val="both"/>
      </w:pPr>
      <w:r>
        <w:t>缺考笔试或笔试成绩为0分的报考者，视为自动放弃，取消报考资格，不影响开考比例。</w:t>
      </w:r>
    </w:p>
    <w:p w14:paraId="4B01C5D8">
      <w:pPr>
        <w:widowControl w:val="0"/>
        <w:ind w:firstLine="640" w:firstLineChars="200"/>
        <w:jc w:val="both"/>
        <w:rPr>
          <w:rFonts w:ascii="楷体_GB2312" w:eastAsia="楷体_GB2312"/>
        </w:rPr>
      </w:pPr>
      <w:r>
        <w:rPr>
          <w:rFonts w:hint="eastAsia" w:ascii="楷体_GB2312" w:eastAsia="楷体_GB2312"/>
        </w:rPr>
        <w:t>（三）面试</w:t>
      </w:r>
    </w:p>
    <w:p w14:paraId="244C7766">
      <w:pPr>
        <w:widowControl w:val="0"/>
        <w:ind w:firstLine="640" w:firstLineChars="200"/>
        <w:jc w:val="both"/>
      </w:pPr>
      <w:r>
        <w:rPr>
          <w:rFonts w:hint="eastAsia"/>
        </w:rPr>
        <w:t>面试</w:t>
      </w:r>
      <w:r>
        <w:t>形式：</w:t>
      </w:r>
      <w:r>
        <w:rPr>
          <w:rFonts w:hint="eastAsia"/>
        </w:rPr>
        <w:t>线下面试</w:t>
      </w:r>
      <w:r>
        <w:t>。</w:t>
      </w:r>
    </w:p>
    <w:p w14:paraId="50A4E884">
      <w:pPr>
        <w:widowControl w:val="0"/>
        <w:ind w:firstLine="640" w:firstLineChars="200"/>
        <w:jc w:val="both"/>
      </w:pPr>
      <w:r>
        <w:t>按照笔试成绩60分以上（含60分）从高到低的原则确定面试人员，面试比例原则上为1</w:t>
      </w:r>
      <w:r>
        <w:rPr>
          <w:rFonts w:ascii="Cambria Math" w:hAnsi="Cambria Math" w:cs="Cambria Math"/>
        </w:rPr>
        <w:t>∶</w:t>
      </w:r>
      <w:r>
        <w:t>5，与最后一名面试人员笔试成绩相同的，一并进入面试，如遇面试开始前人选放弃，按笔试成绩由高至低递补。如因参加面试人员临时缺考出现空缺而造成实际参加面试人数低于规定的面试比例时，面试正常进行。如面试比例低于1:3，将调减岗位招聘人数直至取消岗位招聘。人选面试缺考或放弃面试的视为自动放弃应聘资格。</w:t>
      </w:r>
    </w:p>
    <w:p w14:paraId="2E7E881B">
      <w:pPr>
        <w:widowControl w:val="0"/>
        <w:ind w:firstLine="640" w:firstLineChars="200"/>
        <w:jc w:val="both"/>
      </w:pPr>
      <w:r>
        <w:rPr>
          <w:rFonts w:ascii="楷体_GB2312" w:eastAsia="楷体_GB2312"/>
        </w:rPr>
        <w:t>（四）确定拟聘人员名单</w:t>
      </w:r>
    </w:p>
    <w:p w14:paraId="1037C08D">
      <w:pPr>
        <w:widowControl w:val="0"/>
        <w:ind w:firstLine="640" w:firstLineChars="200"/>
        <w:jc w:val="both"/>
      </w:pPr>
      <w:r>
        <w:t>按照应聘人员笔试成绩50%、面试成绩50%折算综合测试成绩。本着优中选优原则，此次招聘设定总成绩最低合格线为70分，在70分（含）基础之上按从高到低次序确定</w:t>
      </w:r>
      <w:r>
        <w:rPr>
          <w:rFonts w:hint="eastAsia"/>
        </w:rPr>
        <w:t>进入背景调查和</w:t>
      </w:r>
      <w:r>
        <w:t>体检</w:t>
      </w:r>
      <w:r>
        <w:rPr>
          <w:rFonts w:hint="eastAsia"/>
        </w:rPr>
        <w:t>人员名单</w:t>
      </w:r>
      <w:r>
        <w:t>，未入围的不再另行通知。</w:t>
      </w:r>
    </w:p>
    <w:p w14:paraId="79571E98">
      <w:pPr>
        <w:widowControl w:val="0"/>
        <w:ind w:firstLine="640" w:firstLineChars="200"/>
        <w:jc w:val="both"/>
        <w:rPr>
          <w:rFonts w:ascii="楷体_GB2312" w:eastAsia="楷体_GB2312"/>
        </w:rPr>
      </w:pPr>
      <w:r>
        <w:rPr>
          <w:rFonts w:ascii="楷体_GB2312" w:eastAsia="楷体_GB2312"/>
        </w:rPr>
        <w:t>（五）体检</w:t>
      </w:r>
    </w:p>
    <w:p w14:paraId="4E03B7D3">
      <w:pPr>
        <w:widowControl w:val="0"/>
        <w:ind w:firstLine="640" w:firstLineChars="200"/>
        <w:jc w:val="both"/>
      </w:pPr>
      <w:r>
        <w:t>体检标准参照《公务员录用体检通用标准（试行）》执行，体检所产生的一切费用由进入体检人员本人承担。</w:t>
      </w:r>
    </w:p>
    <w:p w14:paraId="7E50A1A6">
      <w:pPr>
        <w:widowControl w:val="0"/>
        <w:ind w:firstLine="640" w:firstLineChars="200"/>
        <w:jc w:val="both"/>
        <w:rPr>
          <w:rFonts w:ascii="楷体_GB2312" w:eastAsia="楷体_GB2312"/>
        </w:rPr>
      </w:pPr>
      <w:r>
        <w:rPr>
          <w:rFonts w:ascii="楷体_GB2312" w:eastAsia="楷体_GB2312"/>
        </w:rPr>
        <w:t>（六）正式聘用</w:t>
      </w:r>
    </w:p>
    <w:p w14:paraId="4D2012DA">
      <w:pPr>
        <w:widowControl w:val="0"/>
        <w:ind w:firstLine="640" w:firstLineChars="200"/>
        <w:jc w:val="both"/>
      </w:pPr>
      <w:r>
        <w:t>按照相关程序办理正式聘用手续，签订劳动合同。</w:t>
      </w:r>
    </w:p>
    <w:p w14:paraId="02A4385B">
      <w:pPr>
        <w:widowControl w:val="0"/>
        <w:ind w:firstLine="640" w:firstLineChars="200"/>
        <w:jc w:val="both"/>
      </w:pPr>
      <w:r>
        <w:t>应聘人员可通过</w:t>
      </w:r>
      <w:r>
        <w:rPr>
          <w:rFonts w:hint="eastAsia"/>
        </w:rPr>
        <w:t>都江堰市人民政府网站</w:t>
      </w:r>
      <w:r>
        <w:t>查询资格审核通过人员名单、笔试和面试成绩、拟聘人员名单。</w:t>
      </w:r>
    </w:p>
    <w:p w14:paraId="54AD9515">
      <w:pPr>
        <w:widowControl w:val="0"/>
        <w:ind w:firstLine="640" w:firstLineChars="200"/>
        <w:jc w:val="both"/>
      </w:pPr>
      <w:r>
        <w:rPr>
          <w:rFonts w:ascii="黑体" w:hAnsi="黑体" w:eastAsia="黑体"/>
        </w:rPr>
        <w:t>六、联系方式</w:t>
      </w:r>
    </w:p>
    <w:p w14:paraId="52033AE0">
      <w:pPr>
        <w:widowControl w:val="0"/>
        <w:ind w:firstLine="640" w:firstLineChars="200"/>
        <w:jc w:val="both"/>
      </w:pPr>
      <w:r>
        <w:t>报名咨询电话：</w:t>
      </w:r>
      <w:r>
        <w:rPr>
          <w:rFonts w:hint="eastAsia"/>
        </w:rPr>
        <w:t>028-63304668-581</w:t>
      </w:r>
      <w:r>
        <w:t>；</w:t>
      </w:r>
    </w:p>
    <w:p w14:paraId="57D5BEF3">
      <w:pPr>
        <w:widowControl w:val="0"/>
        <w:ind w:firstLine="640" w:firstLineChars="200"/>
        <w:jc w:val="both"/>
      </w:pPr>
      <w:r>
        <w:t>监督电话：028-87211933；</w:t>
      </w:r>
    </w:p>
    <w:p w14:paraId="753C9F1E">
      <w:pPr>
        <w:widowControl w:val="0"/>
        <w:ind w:firstLine="640" w:firstLineChars="200"/>
        <w:jc w:val="both"/>
      </w:pPr>
      <w:r>
        <w:t>时间：工作日9:00-12:00，13:00-17:00。</w:t>
      </w:r>
    </w:p>
    <w:p w14:paraId="6BF61B54">
      <w:pPr>
        <w:widowControl w:val="0"/>
        <w:ind w:firstLine="640" w:firstLineChars="200"/>
        <w:jc w:val="both"/>
        <w:rPr>
          <w:rFonts w:ascii="黑体" w:hAnsi="黑体" w:eastAsia="黑体"/>
        </w:rPr>
      </w:pPr>
      <w:r>
        <w:rPr>
          <w:rFonts w:ascii="黑体" w:hAnsi="黑体" w:eastAsia="黑体"/>
        </w:rPr>
        <w:t>七、其他</w:t>
      </w:r>
    </w:p>
    <w:p w14:paraId="48935E9D">
      <w:pPr>
        <w:widowControl w:val="0"/>
        <w:ind w:firstLine="640" w:firstLineChars="200"/>
        <w:jc w:val="both"/>
      </w:pPr>
      <w:r>
        <w:t>（一）应聘人员需认真阅读本公告，报名表一经投递则视为已知晓并认同本公告内容，若因本人漏填、错填等原因导致资格审核不通过的，相应后果由本人承担。</w:t>
      </w:r>
    </w:p>
    <w:p w14:paraId="7B94061E">
      <w:pPr>
        <w:widowControl w:val="0"/>
        <w:ind w:firstLine="640" w:firstLineChars="200"/>
        <w:jc w:val="both"/>
      </w:pPr>
      <w:r>
        <w:t>（二）本公告及附件由</w:t>
      </w:r>
      <w:r>
        <w:rPr>
          <w:rFonts w:hint="eastAsia"/>
        </w:rPr>
        <w:t>青堰文旅公司</w:t>
      </w:r>
      <w:r>
        <w:t>负责解释。</w:t>
      </w:r>
    </w:p>
    <w:p w14:paraId="179C7BD2">
      <w:pPr>
        <w:widowControl w:val="0"/>
        <w:ind w:firstLine="640" w:firstLineChars="200"/>
        <w:jc w:val="both"/>
      </w:pPr>
    </w:p>
    <w:p w14:paraId="1DE33BF8">
      <w:pPr>
        <w:widowControl w:val="0"/>
        <w:ind w:firstLine="640" w:firstLineChars="200"/>
        <w:jc w:val="both"/>
      </w:pPr>
      <w:r>
        <w:t>特别提示：本次招聘面向社会公开组织，不收取任何费用，不指定考试辅导用书；请各位应聘者提高警惕，注意甄别，谨防上当受骗。</w:t>
      </w:r>
      <w:r>
        <w:rPr>
          <w:rFonts w:hint="eastAsia"/>
        </w:rPr>
        <w:t xml:space="preserve">                            </w:t>
      </w:r>
    </w:p>
    <w:p w14:paraId="0793AD57">
      <w:pPr>
        <w:pStyle w:val="2"/>
      </w:pPr>
      <w:r>
        <w:rPr>
          <w:rFonts w:hint="eastAsia"/>
        </w:rPr>
        <w:t xml:space="preserve">                                    </w:t>
      </w:r>
    </w:p>
    <w:p w14:paraId="1B7039BE">
      <w:pPr>
        <w:widowControl w:val="0"/>
        <w:ind w:left="4160" w:hanging="4160" w:hangingChars="1300"/>
        <w:jc w:val="both"/>
      </w:pPr>
      <w:r>
        <w:rPr>
          <w:rFonts w:hint="eastAsia"/>
        </w:rPr>
        <w:t xml:space="preserve">                                                  </w:t>
      </w:r>
    </w:p>
    <w:p w14:paraId="544830B9">
      <w:pPr>
        <w:widowControl w:val="0"/>
        <w:ind w:left="1994" w:leftChars="623" w:firstLine="640" w:firstLineChars="200"/>
        <w:jc w:val="both"/>
      </w:pPr>
      <w:r>
        <w:rPr>
          <w:rFonts w:hint="eastAsia"/>
        </w:rPr>
        <w:t>成都都江堰青堰文化旅游发展有限责任公司</w:t>
      </w:r>
    </w:p>
    <w:p w14:paraId="5DE5EAA4">
      <w:pPr>
        <w:widowControl w:val="0"/>
        <w:jc w:val="right"/>
      </w:pPr>
      <w:r>
        <w:t xml:space="preserve">                        </w:t>
      </w:r>
      <w:r>
        <w:rPr>
          <w:rFonts w:hint="eastAsia"/>
        </w:rPr>
        <w:t xml:space="preserve">              </w:t>
      </w:r>
      <w:r>
        <w:t>202</w:t>
      </w:r>
      <w:r>
        <w:rPr>
          <w:rFonts w:hint="eastAsia"/>
        </w:rPr>
        <w:t>6</w:t>
      </w:r>
      <w:r>
        <w:t xml:space="preserve">年10月9日 </w:t>
      </w:r>
    </w:p>
    <w:sectPr>
      <w:pgSz w:w="11906" w:h="16838"/>
      <w:pgMar w:top="2098" w:right="1587" w:bottom="1701" w:left="1587" w:header="851" w:footer="992" w:gutter="0"/>
      <w:cols w:space="425" w:num="1"/>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Math">
    <w:panose1 w:val="02040503050406030204"/>
    <w:charset w:val="00"/>
    <w:family w:val="roman"/>
    <w:pitch w:val="default"/>
    <w:sig w:usb0="E00002FF" w:usb1="420024FF" w:usb2="00000000" w:usb3="00000000" w:csb0="2000019F" w:csb1="00000000"/>
  </w:font>
  <w:font w:name="微软雅黑">
    <w:panose1 w:val="020B0503020204020204"/>
    <w:charset w:val="86"/>
    <w:family w:val="auto"/>
    <w:pitch w:val="default"/>
    <w:sig w:usb0="80000287" w:usb1="28C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trackRevisions w:val="1"/>
  <w:documentProtection w:enforcement="0"/>
  <w:defaultTabStop w:val="420"/>
  <w:drawingGridHorizontalSpacing w:val="105"/>
  <w:drawingGridVerticalSpacing w:val="319"/>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32E"/>
    <w:rsid w:val="0000712E"/>
    <w:rsid w:val="00044519"/>
    <w:rsid w:val="0005730C"/>
    <w:rsid w:val="000755F5"/>
    <w:rsid w:val="000E13C0"/>
    <w:rsid w:val="000E2C87"/>
    <w:rsid w:val="00154C03"/>
    <w:rsid w:val="001C27E9"/>
    <w:rsid w:val="001C7318"/>
    <w:rsid w:val="00203981"/>
    <w:rsid w:val="00284034"/>
    <w:rsid w:val="002A0800"/>
    <w:rsid w:val="002A44DD"/>
    <w:rsid w:val="00302895"/>
    <w:rsid w:val="00337916"/>
    <w:rsid w:val="00365C17"/>
    <w:rsid w:val="003A62AC"/>
    <w:rsid w:val="003E5E4D"/>
    <w:rsid w:val="003F5266"/>
    <w:rsid w:val="00465A6B"/>
    <w:rsid w:val="004849DE"/>
    <w:rsid w:val="004C5F67"/>
    <w:rsid w:val="004D1570"/>
    <w:rsid w:val="004E06FF"/>
    <w:rsid w:val="005E59AD"/>
    <w:rsid w:val="005F583E"/>
    <w:rsid w:val="0060354B"/>
    <w:rsid w:val="0060432E"/>
    <w:rsid w:val="0060580D"/>
    <w:rsid w:val="00633AEC"/>
    <w:rsid w:val="00652A66"/>
    <w:rsid w:val="00657E95"/>
    <w:rsid w:val="006A4912"/>
    <w:rsid w:val="006E1051"/>
    <w:rsid w:val="006E521B"/>
    <w:rsid w:val="007522EB"/>
    <w:rsid w:val="00773840"/>
    <w:rsid w:val="00777954"/>
    <w:rsid w:val="007931C6"/>
    <w:rsid w:val="007D6735"/>
    <w:rsid w:val="007E0671"/>
    <w:rsid w:val="007F2F84"/>
    <w:rsid w:val="0082685D"/>
    <w:rsid w:val="00830EEF"/>
    <w:rsid w:val="008378AA"/>
    <w:rsid w:val="00871FF0"/>
    <w:rsid w:val="008854D1"/>
    <w:rsid w:val="008A0526"/>
    <w:rsid w:val="008D4DF8"/>
    <w:rsid w:val="008F6482"/>
    <w:rsid w:val="009358BF"/>
    <w:rsid w:val="009435D4"/>
    <w:rsid w:val="009472B0"/>
    <w:rsid w:val="009A4268"/>
    <w:rsid w:val="009C6391"/>
    <w:rsid w:val="009D1D37"/>
    <w:rsid w:val="009D627A"/>
    <w:rsid w:val="009F20EC"/>
    <w:rsid w:val="00A00B2A"/>
    <w:rsid w:val="00A12321"/>
    <w:rsid w:val="00A16AB0"/>
    <w:rsid w:val="00A33A4F"/>
    <w:rsid w:val="00B05382"/>
    <w:rsid w:val="00B1144A"/>
    <w:rsid w:val="00B14B91"/>
    <w:rsid w:val="00B208BB"/>
    <w:rsid w:val="00B51DB2"/>
    <w:rsid w:val="00B52390"/>
    <w:rsid w:val="00BA1DA3"/>
    <w:rsid w:val="00BF1228"/>
    <w:rsid w:val="00BF5FB8"/>
    <w:rsid w:val="00C55258"/>
    <w:rsid w:val="00CC6749"/>
    <w:rsid w:val="00CE0787"/>
    <w:rsid w:val="00D027A2"/>
    <w:rsid w:val="00D366B6"/>
    <w:rsid w:val="00D726CA"/>
    <w:rsid w:val="00D74359"/>
    <w:rsid w:val="00D93280"/>
    <w:rsid w:val="00DA4A14"/>
    <w:rsid w:val="00DB7CF1"/>
    <w:rsid w:val="00DE1FA3"/>
    <w:rsid w:val="00DF7A05"/>
    <w:rsid w:val="00E076A0"/>
    <w:rsid w:val="00E205F9"/>
    <w:rsid w:val="00E831C2"/>
    <w:rsid w:val="00EA6303"/>
    <w:rsid w:val="00EF0211"/>
    <w:rsid w:val="00F60801"/>
    <w:rsid w:val="00F659FE"/>
    <w:rsid w:val="00F8120A"/>
    <w:rsid w:val="00F9082B"/>
    <w:rsid w:val="00FB79D9"/>
    <w:rsid w:val="12250F77"/>
    <w:rsid w:val="1F3314A3"/>
    <w:rsid w:val="5FDCA1F2"/>
    <w:rsid w:val="649C421C"/>
    <w:rsid w:val="7860006B"/>
    <w:rsid w:val="7ABE87F9"/>
    <w:rsid w:val="7FDC4E2E"/>
    <w:rsid w:val="C7FF53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0"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560" w:lineRule="exact"/>
    </w:pPr>
    <w:rPr>
      <w:rFonts w:ascii="Times New Roman" w:hAnsi="Times New Roman" w:eastAsia="仿宋_GB2312" w:cstheme="minorBidi"/>
      <w:kern w:val="2"/>
      <w:sz w:val="32"/>
      <w:szCs w:val="24"/>
      <w:lang w:val="en-US" w:eastAsia="zh-CN" w:bidi="ar-SA"/>
      <w14:ligatures w14:val="standardContextual"/>
    </w:rPr>
  </w:style>
  <w:style w:type="paragraph" w:styleId="3">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4">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5">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Cs w:val="32"/>
    </w:rPr>
  </w:style>
  <w:style w:type="paragraph" w:styleId="6">
    <w:name w:val="heading 4"/>
    <w:basedOn w:val="1"/>
    <w:next w:val="1"/>
    <w:link w:val="23"/>
    <w:semiHidden/>
    <w:unhideWhenUsed/>
    <w:qFormat/>
    <w:uiPriority w:val="9"/>
    <w:pPr>
      <w:keepNext/>
      <w:keepLines/>
      <w:spacing w:before="80" w:after="40"/>
      <w:outlineLvl w:val="3"/>
    </w:pPr>
    <w:rPr>
      <w:rFonts w:asciiTheme="minorHAnsi" w:hAnsiTheme="minorHAnsi" w:eastAsiaTheme="minorEastAsia" w:cstheme="majorBidi"/>
      <w:color w:val="2F5597" w:themeColor="accent1" w:themeShade="BF"/>
      <w:sz w:val="28"/>
      <w:szCs w:val="28"/>
    </w:rPr>
  </w:style>
  <w:style w:type="paragraph" w:styleId="7">
    <w:name w:val="heading 5"/>
    <w:basedOn w:val="1"/>
    <w:next w:val="1"/>
    <w:link w:val="24"/>
    <w:semiHidden/>
    <w:unhideWhenUsed/>
    <w:qFormat/>
    <w:uiPriority w:val="9"/>
    <w:pPr>
      <w:keepNext/>
      <w:keepLines/>
      <w:spacing w:before="80" w:after="40"/>
      <w:outlineLvl w:val="4"/>
    </w:pPr>
    <w:rPr>
      <w:rFonts w:asciiTheme="minorHAnsi" w:hAnsiTheme="minorHAnsi" w:eastAsiaTheme="minorEastAsia" w:cstheme="majorBidi"/>
      <w:color w:val="2F5597" w:themeColor="accent1" w:themeShade="BF"/>
      <w:sz w:val="24"/>
    </w:rPr>
  </w:style>
  <w:style w:type="paragraph" w:styleId="8">
    <w:name w:val="heading 6"/>
    <w:basedOn w:val="1"/>
    <w:next w:val="1"/>
    <w:link w:val="25"/>
    <w:semiHidden/>
    <w:unhideWhenUsed/>
    <w:qFormat/>
    <w:uiPriority w:val="9"/>
    <w:pPr>
      <w:keepNext/>
      <w:keepLines/>
      <w:spacing w:before="40"/>
      <w:outlineLvl w:val="5"/>
    </w:pPr>
    <w:rPr>
      <w:rFonts w:asciiTheme="minorHAnsi" w:hAnsiTheme="minorHAnsi" w:eastAsiaTheme="minorEastAsia" w:cstheme="majorBidi"/>
      <w:b/>
      <w:bCs/>
      <w:color w:val="2F5597" w:themeColor="accent1" w:themeShade="BF"/>
    </w:rPr>
  </w:style>
  <w:style w:type="paragraph" w:styleId="9">
    <w:name w:val="heading 7"/>
    <w:basedOn w:val="1"/>
    <w:next w:val="1"/>
    <w:link w:val="26"/>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7"/>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8"/>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Salutation"/>
    <w:basedOn w:val="1"/>
    <w:next w:val="1"/>
    <w:unhideWhenUsed/>
    <w:qFormat/>
    <w:uiPriority w:val="0"/>
    <w:rPr>
      <w:rFonts w:cs="Times New Roman"/>
      <w:snapToGrid w:val="0"/>
      <w:kern w:val="0"/>
      <w:szCs w:val="20"/>
    </w:rPr>
  </w:style>
  <w:style w:type="paragraph" w:styleId="12">
    <w:name w:val="footer"/>
    <w:basedOn w:val="1"/>
    <w:unhideWhenUsed/>
    <w:qFormat/>
    <w:uiPriority w:val="99"/>
    <w:pPr>
      <w:tabs>
        <w:tab w:val="center" w:pos="4153"/>
        <w:tab w:val="right" w:pos="8306"/>
      </w:tabs>
      <w:snapToGrid w:val="0"/>
    </w:pPr>
    <w:rPr>
      <w:sz w:val="18"/>
      <w:szCs w:val="18"/>
    </w:rPr>
  </w:style>
  <w:style w:type="paragraph" w:styleId="13">
    <w:name w:val="header"/>
    <w:basedOn w:val="1"/>
    <w:link w:val="39"/>
    <w:unhideWhenUsed/>
    <w:qFormat/>
    <w:uiPriority w:val="99"/>
    <w:pPr>
      <w:tabs>
        <w:tab w:val="center" w:pos="4153"/>
        <w:tab w:val="right" w:pos="8306"/>
      </w:tabs>
      <w:snapToGrid w:val="0"/>
      <w:spacing w:line="240" w:lineRule="atLeast"/>
      <w:jc w:val="center"/>
    </w:pPr>
    <w:rPr>
      <w:sz w:val="18"/>
      <w:szCs w:val="18"/>
    </w:rPr>
  </w:style>
  <w:style w:type="paragraph" w:styleId="14">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unhideWhenUsed/>
    <w:qFormat/>
    <w:uiPriority w:val="99"/>
    <w:pPr>
      <w:widowControl w:val="0"/>
      <w:spacing w:beforeAutospacing="1" w:afterAutospacing="1" w:line="240" w:lineRule="auto"/>
    </w:pPr>
    <w:rPr>
      <w:rFonts w:cs="Times New Roman" w:asciiTheme="minorHAnsi" w:hAnsiTheme="minorHAnsi" w:eastAsiaTheme="minorEastAsia"/>
      <w:kern w:val="0"/>
      <w:sz w:val="24"/>
      <w14:ligatures w14:val="none"/>
    </w:rPr>
  </w:style>
  <w:style w:type="paragraph" w:styleId="16">
    <w:name w:val="Title"/>
    <w:basedOn w:val="1"/>
    <w:next w:val="1"/>
    <w:link w:val="29"/>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9">
    <w:name w:val="Hyperlink"/>
    <w:basedOn w:val="18"/>
    <w:semiHidden/>
    <w:unhideWhenUsed/>
    <w:qFormat/>
    <w:uiPriority w:val="99"/>
    <w:rPr>
      <w:color w:val="0000FF"/>
      <w:u w:val="single"/>
    </w:rPr>
  </w:style>
  <w:style w:type="character" w:customStyle="1" w:styleId="20">
    <w:name w:val="标题 1 字符"/>
    <w:basedOn w:val="18"/>
    <w:link w:val="3"/>
    <w:qFormat/>
    <w:uiPriority w:val="9"/>
    <w:rPr>
      <w:rFonts w:asciiTheme="majorHAnsi" w:hAnsiTheme="majorHAnsi" w:eastAsiaTheme="majorEastAsia" w:cstheme="majorBidi"/>
      <w:color w:val="2F5597" w:themeColor="accent1" w:themeShade="BF"/>
      <w:sz w:val="48"/>
      <w:szCs w:val="48"/>
    </w:rPr>
  </w:style>
  <w:style w:type="character" w:customStyle="1" w:styleId="21">
    <w:name w:val="标题 2 字符"/>
    <w:basedOn w:val="18"/>
    <w:link w:val="4"/>
    <w:semiHidden/>
    <w:qFormat/>
    <w:uiPriority w:val="9"/>
    <w:rPr>
      <w:rFonts w:asciiTheme="majorHAnsi" w:hAnsiTheme="majorHAnsi" w:eastAsiaTheme="majorEastAsia" w:cstheme="majorBidi"/>
      <w:color w:val="2F5597" w:themeColor="accent1" w:themeShade="BF"/>
      <w:sz w:val="40"/>
      <w:szCs w:val="40"/>
    </w:rPr>
  </w:style>
  <w:style w:type="character" w:customStyle="1" w:styleId="22">
    <w:name w:val="标题 3 字符"/>
    <w:basedOn w:val="18"/>
    <w:link w:val="5"/>
    <w:semiHidden/>
    <w:qFormat/>
    <w:uiPriority w:val="9"/>
    <w:rPr>
      <w:rFonts w:asciiTheme="majorHAnsi" w:hAnsiTheme="majorHAnsi" w:eastAsiaTheme="majorEastAsia" w:cstheme="majorBidi"/>
      <w:color w:val="2F5597" w:themeColor="accent1" w:themeShade="BF"/>
      <w:szCs w:val="32"/>
    </w:rPr>
  </w:style>
  <w:style w:type="character" w:customStyle="1" w:styleId="23">
    <w:name w:val="标题 4 字符"/>
    <w:basedOn w:val="18"/>
    <w:link w:val="6"/>
    <w:semiHidden/>
    <w:qFormat/>
    <w:uiPriority w:val="9"/>
    <w:rPr>
      <w:rFonts w:asciiTheme="minorHAnsi" w:hAnsiTheme="minorHAnsi" w:eastAsiaTheme="minorEastAsia" w:cstheme="majorBidi"/>
      <w:color w:val="2F5597" w:themeColor="accent1" w:themeShade="BF"/>
      <w:sz w:val="28"/>
      <w:szCs w:val="28"/>
    </w:rPr>
  </w:style>
  <w:style w:type="character" w:customStyle="1" w:styleId="24">
    <w:name w:val="标题 5 字符"/>
    <w:basedOn w:val="18"/>
    <w:link w:val="7"/>
    <w:semiHidden/>
    <w:qFormat/>
    <w:uiPriority w:val="9"/>
    <w:rPr>
      <w:rFonts w:asciiTheme="minorHAnsi" w:hAnsiTheme="minorHAnsi" w:eastAsiaTheme="minorEastAsia" w:cstheme="majorBidi"/>
      <w:color w:val="2F5597" w:themeColor="accent1" w:themeShade="BF"/>
      <w:sz w:val="24"/>
    </w:rPr>
  </w:style>
  <w:style w:type="character" w:customStyle="1" w:styleId="25">
    <w:name w:val="标题 6 字符"/>
    <w:basedOn w:val="18"/>
    <w:link w:val="8"/>
    <w:semiHidden/>
    <w:qFormat/>
    <w:uiPriority w:val="9"/>
    <w:rPr>
      <w:rFonts w:asciiTheme="minorHAnsi" w:hAnsiTheme="minorHAnsi" w:eastAsiaTheme="minorEastAsia" w:cstheme="majorBidi"/>
      <w:b/>
      <w:bCs/>
      <w:color w:val="2F5597" w:themeColor="accent1" w:themeShade="BF"/>
    </w:rPr>
  </w:style>
  <w:style w:type="character" w:customStyle="1" w:styleId="26">
    <w:name w:val="标题 7 字符"/>
    <w:basedOn w:val="18"/>
    <w:link w:val="9"/>
    <w:semiHidden/>
    <w:qFormat/>
    <w:uiPriority w:val="9"/>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8"/>
    <w:link w:val="10"/>
    <w:semiHidden/>
    <w:qFormat/>
    <w:uiPriority w:val="9"/>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8"/>
    <w:link w:val="11"/>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8"/>
    <w:link w:val="16"/>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8"/>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明显强调1"/>
    <w:basedOn w:val="18"/>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明显引用 字符"/>
    <w:basedOn w:val="18"/>
    <w:link w:val="35"/>
    <w:qFormat/>
    <w:uiPriority w:val="30"/>
    <w:rPr>
      <w:i/>
      <w:iCs/>
      <w:color w:val="2F5597" w:themeColor="accent1" w:themeShade="BF"/>
    </w:rPr>
  </w:style>
  <w:style w:type="character" w:customStyle="1" w:styleId="37">
    <w:name w:val="明显参考1"/>
    <w:basedOn w:val="18"/>
    <w:qFormat/>
    <w:uiPriority w:val="32"/>
    <w:rPr>
      <w:b/>
      <w:bCs/>
      <w:smallCaps/>
      <w:color w:val="2F5597" w:themeColor="accent1" w:themeShade="BF"/>
      <w:spacing w:val="5"/>
    </w:rPr>
  </w:style>
  <w:style w:type="character" w:customStyle="1" w:styleId="38">
    <w:name w:val="NormalCharacter"/>
    <w:semiHidden/>
    <w:qFormat/>
    <w:uiPriority w:val="0"/>
  </w:style>
  <w:style w:type="character" w:customStyle="1" w:styleId="39">
    <w:name w:val="页眉 字符"/>
    <w:basedOn w:val="18"/>
    <w:link w:val="13"/>
    <w:qFormat/>
    <w:uiPriority w:val="99"/>
    <w:rPr>
      <w:kern w:val="2"/>
      <w:sz w:val="18"/>
      <w:szCs w:val="18"/>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399</Words>
  <Characters>2278</Characters>
  <Lines>18</Lines>
  <Paragraphs>5</Paragraphs>
  <TotalTime>305</TotalTime>
  <ScaleCrop>false</ScaleCrop>
  <LinksUpToDate>false</LinksUpToDate>
  <CharactersWithSpaces>2672</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2026-01-16T06:19:00Z</dcterms:created>
  <dc:creator>时明月 秦</dc:creator>
  <cp:lastModifiedBy>Break</cp:lastModifiedBy>
  <cp:lastPrinted>2026-09-24T00:36:00Z</cp:lastPrinted>
  <dcterms:modified xsi:type="dcterms:W3CDTF">2026-10-09T09:03:42Z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eyJoZGlkIjoiZTBjNWE3YTRjNzI0OTgxYmZmMjFjZDk0ZTk2MDBlY2IiLCJ1c2VySWQiOiIyNDk5ODMyMDIifQ==</vt:lpwstr>
  </property>
  <property fmtid="{D5CDD505-2E9C-101B-9397-08002B2CF9AE}" pid="3" name="KSOProductBuildVer">
    <vt:lpwstr>2052-12.1.2.24730</vt:lpwstr>
  </property>
  <property fmtid="{D5CDD505-2E9C-101B-9397-08002B2CF9AE}" pid="4" name="ICV">
    <vt:lpwstr>59003505C43A4678909BC647E38B6D14_12</vt:lpwstr>
  </property>
</Properties>
</file>