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482915">
      <w:pPr>
        <w:jc w:val="left"/>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附件3</w:t>
      </w:r>
    </w:p>
    <w:p w14:paraId="748A823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auto"/>
          <w:sz w:val="44"/>
          <w:szCs w:val="44"/>
          <w:highlight w:val="none"/>
          <w:lang w:val="en-US" w:eastAsia="zh-CN"/>
        </w:rPr>
      </w:pPr>
    </w:p>
    <w:p w14:paraId="141744B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auto"/>
          <w:sz w:val="44"/>
          <w:szCs w:val="44"/>
          <w:highlight w:val="none"/>
          <w:lang w:val="en-US" w:eastAsia="zh-CN"/>
        </w:rPr>
      </w:pPr>
      <w:r>
        <w:rPr>
          <w:rFonts w:hint="eastAsia" w:ascii="方正小标宋简体" w:hAnsi="方正小标宋简体" w:eastAsia="方正小标宋简体" w:cs="方正小标宋简体"/>
          <w:color w:val="auto"/>
          <w:sz w:val="44"/>
          <w:szCs w:val="44"/>
          <w:highlight w:val="none"/>
          <w:lang w:val="en-US" w:eastAsia="zh-CN"/>
        </w:rPr>
        <w:t>海淀区消防救援支队政府专职消防员</w:t>
      </w:r>
    </w:p>
    <w:p w14:paraId="47B9AC6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小标宋简体" w:hAnsi="方正小标宋简体" w:eastAsia="方正小标宋简体" w:cs="方正小标宋简体"/>
          <w:color w:val="auto"/>
          <w:sz w:val="44"/>
          <w:szCs w:val="44"/>
          <w:highlight w:val="none"/>
          <w:lang w:val="en-US" w:eastAsia="zh-CN"/>
        </w:rPr>
      </w:pPr>
      <w:r>
        <w:rPr>
          <w:rFonts w:hint="eastAsia" w:ascii="方正小标宋简体" w:hAnsi="方正小标宋简体" w:eastAsia="方正小标宋简体" w:cs="方正小标宋简体"/>
          <w:color w:val="auto"/>
          <w:sz w:val="44"/>
          <w:szCs w:val="44"/>
          <w:highlight w:val="none"/>
          <w:lang w:val="en-US" w:eastAsia="zh-CN"/>
        </w:rPr>
        <w:t>考核科目及体技能测试标准</w:t>
      </w:r>
    </w:p>
    <w:p w14:paraId="5CFCD0CD">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firstLine="676" w:firstLineChars="200"/>
        <w:jc w:val="both"/>
        <w:textAlignment w:val="auto"/>
        <w:rPr>
          <w:rFonts w:hint="eastAsia" w:ascii="Times New Roman" w:hAnsi="Times New Roman" w:eastAsia="方正仿宋_GBK" w:cs="方正仿宋_GBK"/>
          <w:spacing w:val="9"/>
          <w:kern w:val="0"/>
          <w:sz w:val="32"/>
          <w:szCs w:val="32"/>
          <w:u w:val="none"/>
          <w:lang w:val="en-US" w:eastAsia="zh-CN" w:bidi="ar"/>
        </w:rPr>
      </w:pPr>
    </w:p>
    <w:p w14:paraId="067996F5">
      <w:pPr>
        <w:keepNext w:val="0"/>
        <w:keepLines w:val="0"/>
        <w:pageBreakBefore w:val="0"/>
        <w:widowControl w:val="0"/>
        <w:numPr>
          <w:ilvl w:val="0"/>
          <w:numId w:val="0"/>
        </w:numPr>
        <w:kinsoku/>
        <w:wordWrap/>
        <w:overflowPunct w:val="0"/>
        <w:topLinePunct w:val="0"/>
        <w:autoSpaceDE w:val="0"/>
        <w:autoSpaceDN w:val="0"/>
        <w:bidi w:val="0"/>
        <w:adjustRightInd/>
        <w:snapToGrid/>
        <w:spacing w:line="560" w:lineRule="exact"/>
        <w:ind w:firstLine="643" w:firstLineChars="200"/>
        <w:jc w:val="both"/>
        <w:textAlignment w:val="center"/>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考核科目包括体能测试、驾驶技能测试、心理测试、面试、体格检查和政治审查等。</w:t>
      </w:r>
    </w:p>
    <w:p w14:paraId="6402FBDD">
      <w:pPr>
        <w:keepNext w:val="0"/>
        <w:keepLines w:val="0"/>
        <w:pageBreakBefore w:val="0"/>
        <w:widowControl w:val="0"/>
        <w:numPr>
          <w:ilvl w:val="0"/>
          <w:numId w:val="0"/>
        </w:numPr>
        <w:kinsoku/>
        <w:wordWrap/>
        <w:overflowPunct w:val="0"/>
        <w:topLinePunct w:val="0"/>
        <w:autoSpaceDE w:val="0"/>
        <w:autoSpaceDN w:val="0"/>
        <w:bidi w:val="0"/>
        <w:adjustRightInd/>
        <w:snapToGrid/>
        <w:spacing w:line="560" w:lineRule="exact"/>
        <w:ind w:firstLine="640" w:firstLineChars="200"/>
        <w:jc w:val="both"/>
        <w:textAlignment w:val="center"/>
        <w:rPr>
          <w:rFonts w:hint="eastAsia" w:ascii="仿宋_GB2312" w:hAnsi="仿宋_GB2312" w:eastAsia="仿宋_GB2312" w:cs="仿宋_GB2312"/>
          <w:color w:val="auto"/>
          <w:sz w:val="32"/>
          <w:szCs w:val="32"/>
          <w:highlight w:val="none"/>
          <w:lang w:val="en-US" w:eastAsia="zh-CN"/>
        </w:rPr>
      </w:pPr>
      <w:r>
        <w:rPr>
          <w:rFonts w:hint="eastAsia" w:ascii="黑体" w:hAnsi="黑体" w:eastAsia="黑体" w:cs="黑体"/>
          <w:snapToGrid w:val="0"/>
          <w:color w:val="auto"/>
          <w:kern w:val="0"/>
          <w:sz w:val="32"/>
          <w:szCs w:val="32"/>
          <w:highlight w:val="none"/>
          <w:lang w:val="en-US" w:eastAsia="zh-CN" w:bidi="ar-SA"/>
        </w:rPr>
        <w:t>一、</w:t>
      </w:r>
      <w:r>
        <w:rPr>
          <w:rFonts w:hint="eastAsia" w:ascii="黑体" w:hAnsi="黑体" w:eastAsia="黑体" w:cs="黑体"/>
          <w:b w:val="0"/>
          <w:bCs w:val="0"/>
          <w:snapToGrid w:val="0"/>
          <w:color w:val="auto"/>
          <w:kern w:val="0"/>
          <w:sz w:val="32"/>
          <w:szCs w:val="32"/>
          <w:highlight w:val="none"/>
          <w:lang w:val="en-US" w:eastAsia="zh-CN" w:bidi="ar-SA"/>
        </w:rPr>
        <w:t>体能测试：</w:t>
      </w:r>
      <w:r>
        <w:rPr>
          <w:rFonts w:hint="eastAsia" w:ascii="仿宋_GB2312" w:hAnsi="仿宋_GB2312" w:eastAsia="仿宋_GB2312" w:cs="仿宋_GB2312"/>
          <w:color w:val="auto"/>
          <w:sz w:val="32"/>
          <w:szCs w:val="32"/>
          <w:highlight w:val="none"/>
          <w:lang w:val="en-US" w:eastAsia="zh-CN"/>
        </w:rPr>
        <w:t>从</w:t>
      </w:r>
      <w:r>
        <w:rPr>
          <w:rFonts w:hint="eastAsia" w:ascii="仿宋_GB2312" w:hAnsi="仿宋_GB2312" w:eastAsia="仿宋_GB2312" w:cs="仿宋_GB2312"/>
          <w:color w:val="auto"/>
          <w:sz w:val="32"/>
          <w:szCs w:val="32"/>
          <w:highlight w:val="none"/>
          <w:lang w:val="en-US" w:eastAsia="zh-CN"/>
        </w:rPr>
        <w:t>《北京市消防救援总队专职消防员考试体测项目及标准》中选取1000米跑、100米跑、单杠、立定跳远4项内容进行现场考核，</w:t>
      </w:r>
      <w:r>
        <w:rPr>
          <w:rFonts w:hint="eastAsia" w:ascii="Times New Roman" w:hAnsi="Times New Roman" w:eastAsia="仿宋_GB2312"/>
          <w:color w:val="auto"/>
          <w:kern w:val="2"/>
          <w:sz w:val="32"/>
          <w:szCs w:val="32"/>
          <w:highlight w:val="none"/>
          <w:lang w:val="en-US" w:eastAsia="zh-CN"/>
        </w:rPr>
        <w:t>每项占体能总成绩的25%，满分100分，</w:t>
      </w:r>
      <w:r>
        <w:rPr>
          <w:rFonts w:hint="eastAsia" w:ascii="仿宋_GB2312" w:hAnsi="仿宋_GB2312" w:eastAsia="仿宋_GB2312" w:cs="仿宋_GB2312"/>
          <w:color w:val="auto"/>
          <w:sz w:val="32"/>
          <w:szCs w:val="32"/>
          <w:highlight w:val="none"/>
          <w:lang w:val="en-US" w:eastAsia="zh-CN"/>
        </w:rPr>
        <w:t>单项未取得有效成绩或总分低于60为不合格。</w:t>
      </w:r>
    </w:p>
    <w:p w14:paraId="77D1320E">
      <w:pPr>
        <w:keepNext w:val="0"/>
        <w:keepLines w:val="0"/>
        <w:pageBreakBefore w:val="0"/>
        <w:widowControl w:val="0"/>
        <w:kinsoku/>
        <w:wordWrap/>
        <w:overflowPunct w:val="0"/>
        <w:topLinePunct w:val="0"/>
        <w:autoSpaceDE w:val="0"/>
        <w:autoSpaceDN w:val="0"/>
        <w:bidi w:val="0"/>
        <w:adjustRightInd/>
        <w:snapToGrid/>
        <w:spacing w:line="560" w:lineRule="exact"/>
        <w:ind w:firstLine="640" w:firstLineChars="200"/>
        <w:jc w:val="both"/>
        <w:textAlignment w:val="center"/>
        <w:rPr>
          <w:rFonts w:hint="eastAsia" w:ascii="Times New Roman" w:hAnsi="Times New Roman" w:eastAsia="仿宋_GB2312"/>
          <w:color w:val="auto"/>
          <w:kern w:val="2"/>
          <w:sz w:val="32"/>
          <w:szCs w:val="32"/>
          <w:highlight w:val="none"/>
          <w:lang w:val="en-US" w:eastAsia="zh-CN"/>
        </w:rPr>
      </w:pPr>
      <w:r>
        <w:rPr>
          <w:rFonts w:hint="eastAsia" w:ascii="黑体" w:hAnsi="黑体" w:eastAsia="黑体" w:cs="黑体"/>
          <w:b w:val="0"/>
          <w:bCs w:val="0"/>
          <w:snapToGrid w:val="0"/>
          <w:color w:val="auto"/>
          <w:kern w:val="0"/>
          <w:sz w:val="32"/>
          <w:szCs w:val="32"/>
          <w:highlight w:val="none"/>
          <w:lang w:val="en-US" w:eastAsia="zh-CN" w:bidi="ar-SA"/>
        </w:rPr>
        <w:t>二、驾驶技能测试：</w:t>
      </w:r>
      <w:r>
        <w:rPr>
          <w:rFonts w:hint="eastAsia" w:ascii="Times New Roman" w:hAnsi="Times New Roman" w:eastAsia="仿宋_GB2312"/>
          <w:color w:val="auto"/>
          <w:kern w:val="2"/>
          <w:sz w:val="32"/>
          <w:szCs w:val="32"/>
          <w:highlight w:val="none"/>
          <w:lang w:val="en-US" w:eastAsia="zh-CN"/>
        </w:rPr>
        <w:t>全体报考人员须参加驾驶技能测试，具体科目为倒车入库、侧方位停车、道路驾驶和法规理论考试，每项占专业技能总成绩的25%，技能测试实行量化评分，满分100分，低于60分的为“不合格”。</w:t>
      </w:r>
    </w:p>
    <w:p w14:paraId="32794A05">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Times New Roman" w:hAnsi="Times New Roman" w:eastAsia="仿宋_GB2312"/>
          <w:color w:val="auto"/>
          <w:kern w:val="2"/>
          <w:sz w:val="32"/>
          <w:szCs w:val="32"/>
          <w:highlight w:val="none"/>
          <w:lang w:val="en-US" w:eastAsia="zh-CN"/>
        </w:rPr>
      </w:pPr>
      <w:r>
        <w:rPr>
          <w:rFonts w:hint="eastAsia" w:ascii="黑体" w:hAnsi="黑体" w:eastAsia="黑体" w:cs="黑体"/>
          <w:b w:val="0"/>
          <w:bCs w:val="0"/>
          <w:snapToGrid w:val="0"/>
          <w:color w:val="auto"/>
          <w:kern w:val="0"/>
          <w:sz w:val="32"/>
          <w:szCs w:val="32"/>
          <w:highlight w:val="none"/>
          <w:lang w:val="en-US" w:eastAsia="zh-CN" w:bidi="ar-SA"/>
        </w:rPr>
        <w:t>三、心理测试：</w:t>
      </w:r>
      <w:r>
        <w:rPr>
          <w:rFonts w:hint="eastAsia" w:ascii="仿宋_GB2312" w:hAnsi="仿宋_GB2312" w:eastAsia="仿宋_GB2312" w:cs="仿宋_GB2312"/>
          <w:color w:val="auto"/>
          <w:kern w:val="2"/>
          <w:sz w:val="32"/>
          <w:szCs w:val="32"/>
          <w:highlight w:val="none"/>
          <w:lang w:val="en-US" w:eastAsia="zh-CN" w:bidi="ar-SA"/>
        </w:rPr>
        <w:t>心理测试采用心理测查系统进行，由系统自动判定“合格”或“不合格”。</w:t>
      </w:r>
    </w:p>
    <w:p w14:paraId="05E16C45">
      <w:pPr>
        <w:keepNext w:val="0"/>
        <w:keepLines w:val="0"/>
        <w:pageBreakBefore w:val="0"/>
        <w:widowControl w:val="0"/>
        <w:kinsoku/>
        <w:overflowPunct/>
        <w:topLinePunct w:val="0"/>
        <w:bidi w:val="0"/>
        <w:adjustRightInd/>
        <w:snapToGrid/>
        <w:spacing w:line="560" w:lineRule="exact"/>
        <w:ind w:firstLine="640" w:firstLineChars="200"/>
        <w:textAlignment w:val="auto"/>
        <w:rPr>
          <w:rFonts w:hint="eastAsia" w:ascii="Times New Roman" w:hAnsi="Times New Roman" w:eastAsia="仿宋_GB2312"/>
          <w:color w:val="auto"/>
          <w:kern w:val="2"/>
          <w:sz w:val="32"/>
          <w:szCs w:val="32"/>
          <w:highlight w:val="none"/>
          <w:lang w:val="en-US" w:eastAsia="zh-CN"/>
        </w:rPr>
      </w:pPr>
      <w:r>
        <w:rPr>
          <w:rFonts w:hint="eastAsia" w:ascii="黑体" w:hAnsi="黑体" w:eastAsia="黑体" w:cs="黑体"/>
          <w:b w:val="0"/>
          <w:bCs w:val="0"/>
          <w:snapToGrid w:val="0"/>
          <w:color w:val="auto"/>
          <w:kern w:val="0"/>
          <w:sz w:val="32"/>
          <w:szCs w:val="32"/>
          <w:highlight w:val="none"/>
          <w:lang w:val="en-US" w:eastAsia="zh-CN" w:bidi="ar-SA"/>
        </w:rPr>
        <w:t>四、面试：</w:t>
      </w:r>
      <w:r>
        <w:rPr>
          <w:rFonts w:ascii="Times New Roman" w:hAnsi="Times New Roman" w:eastAsia="仿宋_GB2312"/>
          <w:color w:val="auto"/>
          <w:kern w:val="2"/>
          <w:sz w:val="32"/>
          <w:szCs w:val="32"/>
          <w:highlight w:val="none"/>
        </w:rPr>
        <w:t>主要考察招录对象的身体形态、仪容仪表、语言表达、交流沟通</w:t>
      </w:r>
      <w:r>
        <w:rPr>
          <w:rFonts w:hint="eastAsia" w:ascii="Times New Roman" w:hAnsi="Times New Roman" w:eastAsia="仿宋_GB2312"/>
          <w:color w:val="auto"/>
          <w:kern w:val="2"/>
          <w:sz w:val="32"/>
          <w:szCs w:val="32"/>
          <w:highlight w:val="none"/>
          <w:lang w:eastAsia="zh-CN"/>
        </w:rPr>
        <w:t>、</w:t>
      </w:r>
      <w:r>
        <w:rPr>
          <w:rFonts w:hint="eastAsia" w:ascii="Times New Roman" w:hAnsi="Times New Roman" w:eastAsia="仿宋_GB2312"/>
          <w:color w:val="auto"/>
          <w:kern w:val="2"/>
          <w:sz w:val="32"/>
          <w:szCs w:val="32"/>
          <w:highlight w:val="none"/>
          <w:lang w:val="en-US" w:eastAsia="zh-CN"/>
        </w:rPr>
        <w:t>专业知识</w:t>
      </w:r>
      <w:r>
        <w:rPr>
          <w:rFonts w:ascii="Times New Roman" w:hAnsi="Times New Roman" w:eastAsia="仿宋_GB2312"/>
          <w:color w:val="auto"/>
          <w:kern w:val="2"/>
          <w:sz w:val="32"/>
          <w:szCs w:val="32"/>
          <w:highlight w:val="none"/>
        </w:rPr>
        <w:t>等内容。</w:t>
      </w:r>
      <w:r>
        <w:rPr>
          <w:rFonts w:hint="eastAsia" w:ascii="Times New Roman" w:hAnsi="Times New Roman" w:eastAsia="仿宋_GB2312"/>
          <w:color w:val="auto"/>
          <w:kern w:val="2"/>
          <w:sz w:val="32"/>
          <w:szCs w:val="32"/>
          <w:highlight w:val="none"/>
          <w:lang w:val="en-US" w:eastAsia="zh-CN"/>
        </w:rPr>
        <w:t>面试实行量化评分，满分100分，低于60分的为“不合格”。</w:t>
      </w:r>
    </w:p>
    <w:p w14:paraId="73A55192">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Times New Roman" w:hAnsi="Times New Roman" w:eastAsia="仿宋_GB2312" w:cs="Arial"/>
          <w:snapToGrid w:val="0"/>
          <w:color w:val="auto"/>
          <w:kern w:val="2"/>
          <w:sz w:val="32"/>
          <w:szCs w:val="32"/>
          <w:highlight w:val="none"/>
          <w:lang w:val="en-US" w:eastAsia="zh-CN" w:bidi="ar-SA"/>
        </w:rPr>
      </w:pPr>
      <w:r>
        <w:rPr>
          <w:rFonts w:hint="eastAsia" w:ascii="黑体" w:hAnsi="黑体" w:eastAsia="黑体" w:cs="黑体"/>
          <w:b w:val="0"/>
          <w:bCs w:val="0"/>
          <w:snapToGrid w:val="0"/>
          <w:color w:val="auto"/>
          <w:kern w:val="0"/>
          <w:sz w:val="32"/>
          <w:szCs w:val="32"/>
          <w:highlight w:val="none"/>
          <w:lang w:val="en-US" w:eastAsia="zh-CN" w:bidi="ar-SA"/>
        </w:rPr>
        <w:t>五、体格检查：</w:t>
      </w:r>
      <w:r>
        <w:rPr>
          <w:rFonts w:hint="eastAsia" w:ascii="Times New Roman" w:hAnsi="Times New Roman" w:eastAsia="仿宋_GB2312" w:cs="Arial"/>
          <w:snapToGrid w:val="0"/>
          <w:color w:val="auto"/>
          <w:kern w:val="2"/>
          <w:sz w:val="32"/>
          <w:szCs w:val="32"/>
          <w:highlight w:val="none"/>
          <w:lang w:val="en-US" w:eastAsia="zh-CN" w:bidi="ar-SA"/>
        </w:rPr>
        <w:t>确定拟录用人员后，将统一组织体检复检，体检结果应符合应征公民体格检查标准，不合格的不予招录。招录对象对体格检查结果有疑问、申请复检的，经同意，可以进行一次复检，体格检查结果以复检结论为准；对可以通过服用药物或其他治疗手段影响检查结果的项目不予复检。基于消防救援职业的特殊要求，对已评定残疾等级和有严重伤病治疗记录等不适宜从事消防救援工作的，不予招录。</w:t>
      </w:r>
    </w:p>
    <w:p w14:paraId="34857FE7">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黑体" w:hAnsi="黑体" w:eastAsia="黑体" w:cs="黑体"/>
          <w:b w:val="0"/>
          <w:bCs w:val="0"/>
          <w:snapToGrid w:val="0"/>
          <w:color w:val="auto"/>
          <w:kern w:val="0"/>
          <w:sz w:val="32"/>
          <w:szCs w:val="32"/>
          <w:highlight w:val="none"/>
          <w:lang w:val="en-US" w:eastAsia="zh-CN" w:bidi="ar-SA"/>
        </w:rPr>
      </w:pPr>
      <w:r>
        <w:rPr>
          <w:rFonts w:hint="eastAsia" w:ascii="黑体" w:hAnsi="黑体" w:eastAsia="黑体" w:cs="黑体"/>
          <w:b w:val="0"/>
          <w:bCs w:val="0"/>
          <w:snapToGrid w:val="0"/>
          <w:color w:val="auto"/>
          <w:kern w:val="0"/>
          <w:sz w:val="32"/>
          <w:szCs w:val="32"/>
          <w:highlight w:val="none"/>
          <w:lang w:val="en-US" w:eastAsia="zh-CN" w:bidi="ar-SA"/>
        </w:rPr>
        <w:t>六、政治审查：</w:t>
      </w:r>
      <w:r>
        <w:rPr>
          <w:rFonts w:hint="eastAsia" w:ascii="Times New Roman" w:hAnsi="Times New Roman" w:eastAsia="仿宋_GB2312" w:cs="Arial"/>
          <w:snapToGrid w:val="0"/>
          <w:color w:val="auto"/>
          <w:kern w:val="2"/>
          <w:sz w:val="32"/>
          <w:szCs w:val="32"/>
          <w:highlight w:val="none"/>
          <w:lang w:val="en-US" w:eastAsia="zh-CN" w:bidi="ar-SA"/>
        </w:rPr>
        <w:t>遵纪守法，本人无违纪违法、被开除公职或辞退等不良记录，本人征信报告无不良记录，家庭成员以及主要社会关系中无违法犯罪记录；</w:t>
      </w:r>
    </w:p>
    <w:p w14:paraId="2E9DB4D1">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Times New Roman" w:hAnsi="Times New Roman" w:eastAsia="仿宋_GB2312" w:cs="Times New Roman"/>
          <w:snapToGrid w:val="0"/>
          <w:color w:val="auto"/>
          <w:kern w:val="0"/>
          <w:sz w:val="32"/>
          <w:szCs w:val="32"/>
          <w:highlight w:val="none"/>
          <w:lang w:val="en-US" w:eastAsia="zh-CN" w:bidi="ar-SA"/>
        </w:rPr>
      </w:pPr>
      <w:r>
        <w:rPr>
          <w:rFonts w:hint="eastAsia" w:ascii="黑体" w:hAnsi="黑体" w:eastAsia="黑体" w:cs="黑体"/>
          <w:b w:val="0"/>
          <w:bCs w:val="0"/>
          <w:snapToGrid w:val="0"/>
          <w:color w:val="auto"/>
          <w:kern w:val="0"/>
          <w:sz w:val="32"/>
          <w:szCs w:val="32"/>
          <w:highlight w:val="none"/>
          <w:lang w:val="en-US" w:eastAsia="zh-CN" w:bidi="ar-SA"/>
        </w:rPr>
        <w:t>七、成绩计算：</w:t>
      </w:r>
      <w:r>
        <w:rPr>
          <w:rFonts w:hint="eastAsia" w:ascii="Times New Roman" w:hAnsi="Times New Roman" w:eastAsia="仿宋_GB2312" w:cs="Times New Roman"/>
          <w:snapToGrid w:val="0"/>
          <w:color w:val="auto"/>
          <w:kern w:val="0"/>
          <w:sz w:val="32"/>
          <w:szCs w:val="32"/>
          <w:highlight w:val="none"/>
          <w:lang w:val="en-US" w:eastAsia="zh-CN" w:bidi="ar-SA"/>
        </w:rPr>
        <w:t>灭火救援岗位和通信员岗位综合成绩=体能测试成绩50%+面试成绩50%；执勤车驾驶员岗位综合成绩=体能测试成绩40%+专业技能成绩40%+面试成绩20%，</w:t>
      </w:r>
      <w:r>
        <w:rPr>
          <w:rFonts w:hint="eastAsia" w:ascii="Times New Roman" w:hAnsi="Times New Roman" w:eastAsia="仿宋_GB2312"/>
          <w:color w:val="auto"/>
          <w:kern w:val="2"/>
          <w:sz w:val="32"/>
          <w:szCs w:val="32"/>
          <w:highlight w:val="none"/>
          <w:lang w:val="en-US" w:eastAsia="zh-CN"/>
        </w:rPr>
        <w:t>满分100分，低于60分的为“不合格”</w:t>
      </w:r>
      <w:r>
        <w:rPr>
          <w:rFonts w:hint="eastAsia" w:ascii="Times New Roman" w:hAnsi="Times New Roman" w:eastAsia="仿宋_GB2312" w:cs="Times New Roman"/>
          <w:snapToGrid w:val="0"/>
          <w:color w:val="auto"/>
          <w:kern w:val="0"/>
          <w:sz w:val="32"/>
          <w:szCs w:val="32"/>
          <w:highlight w:val="none"/>
          <w:lang w:val="en-US" w:eastAsia="zh-CN" w:bidi="ar-SA"/>
        </w:rPr>
        <w:t>。</w:t>
      </w:r>
    </w:p>
    <w:p w14:paraId="6F318621">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Times New Roman" w:hAnsi="Times New Roman" w:eastAsia="仿宋_GB2312" w:cs="Times New Roman"/>
          <w:snapToGrid w:val="0"/>
          <w:color w:val="auto"/>
          <w:kern w:val="0"/>
          <w:sz w:val="32"/>
          <w:szCs w:val="32"/>
          <w:highlight w:val="none"/>
          <w:lang w:val="en-US" w:eastAsia="zh-CN" w:bidi="ar-SA"/>
        </w:rPr>
      </w:pPr>
      <w:r>
        <w:rPr>
          <w:rFonts w:hint="eastAsia" w:ascii="Times New Roman" w:hAnsi="Times New Roman" w:eastAsia="仿宋_GB2312" w:cs="Times New Roman"/>
          <w:snapToGrid w:val="0"/>
          <w:color w:val="auto"/>
          <w:kern w:val="0"/>
          <w:sz w:val="32"/>
          <w:szCs w:val="32"/>
          <w:highlight w:val="none"/>
          <w:lang w:val="en-US" w:eastAsia="zh-CN" w:bidi="ar-SA"/>
        </w:rPr>
        <w:t>计算总成绩时四舍五入，保留小数点后两位，并对成绩进行公示。</w:t>
      </w:r>
    </w:p>
    <w:p w14:paraId="4CD0E3FD">
      <w:pPr>
        <w:keepNext w:val="0"/>
        <w:keepLines w:val="0"/>
        <w:pageBreakBefore w:val="0"/>
        <w:widowControl w:val="0"/>
        <w:kinsoku/>
        <w:wordWrap/>
        <w:overflowPunct w:val="0"/>
        <w:topLinePunct w:val="0"/>
        <w:autoSpaceDE w:val="0"/>
        <w:autoSpaceDN w:val="0"/>
        <w:bidi w:val="0"/>
        <w:adjustRightInd/>
        <w:snapToGrid/>
        <w:spacing w:line="560" w:lineRule="exact"/>
        <w:ind w:firstLine="640" w:firstLineChars="200"/>
        <w:jc w:val="both"/>
        <w:textAlignment w:val="center"/>
        <w:rPr>
          <w:rFonts w:hint="eastAsia" w:ascii="黑体" w:hAnsi="黑体" w:eastAsia="黑体" w:cs="黑体"/>
          <w:b w:val="0"/>
          <w:bCs w:val="0"/>
          <w:snapToGrid w:val="0"/>
          <w:color w:val="auto"/>
          <w:kern w:val="0"/>
          <w:sz w:val="32"/>
          <w:szCs w:val="32"/>
          <w:highlight w:val="none"/>
          <w:lang w:val="en-US" w:eastAsia="zh-CN" w:bidi="ar-SA"/>
        </w:rPr>
      </w:pPr>
      <w:r>
        <w:rPr>
          <w:rFonts w:hint="eastAsia" w:ascii="黑体" w:hAnsi="黑体" w:eastAsia="黑体" w:cs="黑体"/>
          <w:b w:val="0"/>
          <w:bCs w:val="0"/>
          <w:snapToGrid w:val="0"/>
          <w:color w:val="auto"/>
          <w:kern w:val="0"/>
          <w:sz w:val="32"/>
          <w:szCs w:val="32"/>
          <w:highlight w:val="none"/>
          <w:lang w:val="en-US" w:eastAsia="zh-CN" w:bidi="ar-SA"/>
        </w:rPr>
        <w:t>上述项目中，有一项为“不合格”的，不予录用。</w:t>
      </w:r>
    </w:p>
    <w:p w14:paraId="7572F275">
      <w:pPr>
        <w:keepNext w:val="0"/>
        <w:keepLines w:val="0"/>
        <w:pageBreakBefore w:val="0"/>
        <w:widowControl w:val="0"/>
        <w:kinsoku/>
        <w:wordWrap/>
        <w:overflowPunct w:val="0"/>
        <w:topLinePunct w:val="0"/>
        <w:autoSpaceDE w:val="0"/>
        <w:autoSpaceDN w:val="0"/>
        <w:bidi w:val="0"/>
        <w:adjustRightInd/>
        <w:snapToGrid/>
        <w:spacing w:line="560" w:lineRule="exact"/>
        <w:ind w:firstLine="640" w:firstLineChars="200"/>
        <w:jc w:val="both"/>
        <w:textAlignment w:val="center"/>
        <w:rPr>
          <w:rFonts w:hint="default" w:ascii="Times New Roman" w:hAnsi="Times New Roman" w:eastAsia="仿宋_GB2312" w:cs="Times New Roman"/>
          <w:snapToGrid w:val="0"/>
          <w:color w:val="auto"/>
          <w:kern w:val="0"/>
          <w:sz w:val="32"/>
          <w:szCs w:val="32"/>
          <w:highlight w:val="none"/>
          <w:lang w:val="en-US" w:eastAsia="zh-CN" w:bidi="ar-SA"/>
        </w:rPr>
      </w:pPr>
      <w:r>
        <w:rPr>
          <w:rFonts w:hint="eastAsia" w:ascii="黑体" w:hAnsi="黑体" w:eastAsia="黑体" w:cs="黑体"/>
          <w:b w:val="0"/>
          <w:bCs w:val="0"/>
          <w:snapToGrid w:val="0"/>
          <w:color w:val="auto"/>
          <w:kern w:val="0"/>
          <w:sz w:val="32"/>
          <w:szCs w:val="32"/>
          <w:highlight w:val="none"/>
          <w:lang w:val="en-US" w:eastAsia="zh-CN" w:bidi="ar-SA"/>
        </w:rPr>
        <w:t>八、岗位调剂：</w:t>
      </w:r>
      <w:r>
        <w:rPr>
          <w:rFonts w:hint="eastAsia" w:ascii="Times New Roman" w:hAnsi="Times New Roman" w:eastAsia="仿宋_GB2312" w:cs="Times New Roman"/>
          <w:snapToGrid w:val="0"/>
          <w:color w:val="auto"/>
          <w:kern w:val="0"/>
          <w:sz w:val="32"/>
          <w:szCs w:val="32"/>
          <w:highlight w:val="none"/>
          <w:lang w:val="en-US" w:eastAsia="zh-CN" w:bidi="ar-SA"/>
        </w:rPr>
        <w:t>如相应岗位招录人数未达到上限，剩余岗位额度调整补充到其他岗位招录额度。</w:t>
      </w:r>
    </w:p>
    <w:p w14:paraId="46B72F96">
      <w:pPr>
        <w:keepNext w:val="0"/>
        <w:keepLines w:val="0"/>
        <w:pageBreakBefore w:val="0"/>
        <w:widowControl w:val="0"/>
        <w:kinsoku/>
        <w:wordWrap/>
        <w:overflowPunct w:val="0"/>
        <w:topLinePunct w:val="0"/>
        <w:autoSpaceDE w:val="0"/>
        <w:autoSpaceDN w:val="0"/>
        <w:bidi w:val="0"/>
        <w:adjustRightInd/>
        <w:snapToGrid/>
        <w:spacing w:line="560" w:lineRule="exact"/>
        <w:ind w:firstLine="640" w:firstLineChars="200"/>
        <w:jc w:val="both"/>
        <w:textAlignment w:val="center"/>
        <w:rPr>
          <w:rFonts w:hint="eastAsia" w:ascii="黑体" w:hAnsi="黑体" w:eastAsia="黑体" w:cs="黑体"/>
          <w:b w:val="0"/>
          <w:bCs w:val="0"/>
          <w:snapToGrid w:val="0"/>
          <w:color w:val="auto"/>
          <w:kern w:val="0"/>
          <w:sz w:val="32"/>
          <w:szCs w:val="32"/>
          <w:highlight w:val="none"/>
          <w:lang w:val="en-US" w:eastAsia="zh-CN" w:bidi="ar-SA"/>
        </w:rPr>
      </w:pPr>
    </w:p>
    <w:p w14:paraId="7159CBA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snapToGrid/>
        <w:spacing w:before="0" w:beforeAutospacing="0" w:after="0" w:afterAutospacing="0" w:line="240" w:lineRule="auto"/>
        <w:ind w:right="0"/>
        <w:jc w:val="both"/>
        <w:textAlignment w:val="center"/>
        <w:rPr>
          <w:rFonts w:hint="eastAsia" w:ascii="仿宋_GB2312" w:hAnsi="仿宋_GB2312" w:eastAsia="仿宋_GB2312" w:cs="仿宋_GB2312"/>
          <w:b w:val="0"/>
          <w:bCs w:val="0"/>
          <w:color w:val="auto"/>
          <w:spacing w:val="9"/>
          <w:sz w:val="28"/>
          <w:szCs w:val="28"/>
          <w:highlight w:val="none"/>
          <w:lang w:val="en-US" w:eastAsia="zh-CN"/>
          <w14:textOutline w14:w="4177" w14:cap="sq" w14:cmpd="sng">
            <w14:solidFill>
              <w14:srgbClr w14:val="000000"/>
            </w14:solidFill>
            <w14:prstDash w14:val="solid"/>
            <w14:bevel/>
          </w14:textOutline>
        </w:rPr>
      </w:pPr>
    </w:p>
    <w:p w14:paraId="32B01B5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snapToGrid/>
        <w:spacing w:before="0" w:beforeAutospacing="0" w:after="0" w:afterAutospacing="0" w:line="240" w:lineRule="auto"/>
        <w:ind w:right="0"/>
        <w:jc w:val="both"/>
        <w:textAlignment w:val="center"/>
        <w:rPr>
          <w:rFonts w:hint="eastAsia" w:ascii="仿宋_GB2312" w:hAnsi="仿宋_GB2312" w:eastAsia="仿宋_GB2312" w:cs="仿宋_GB2312"/>
          <w:b w:val="0"/>
          <w:bCs w:val="0"/>
          <w:color w:val="auto"/>
          <w:spacing w:val="9"/>
          <w:sz w:val="28"/>
          <w:szCs w:val="28"/>
          <w:highlight w:val="none"/>
          <w:lang w:val="en-US" w:eastAsia="zh-CN"/>
          <w14:textOutline w14:w="4177" w14:cap="sq" w14:cmpd="sng">
            <w14:solidFill>
              <w14:srgbClr w14:val="000000"/>
            </w14:solidFill>
            <w14:prstDash w14:val="solid"/>
            <w14:bevel/>
          </w14:textOutline>
        </w:rPr>
        <w:sectPr>
          <w:pgSz w:w="11910" w:h="16840"/>
          <w:pgMar w:top="1431" w:right="1714" w:bottom="0" w:left="1786" w:header="0" w:footer="0" w:gutter="0"/>
          <w:cols w:space="720" w:num="1"/>
        </w:sectPr>
      </w:pPr>
    </w:p>
    <w:p w14:paraId="2DE24F5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auto"/>
          <w:sz w:val="44"/>
          <w:szCs w:val="44"/>
          <w:highlight w:val="none"/>
          <w:lang w:val="en-US" w:eastAsia="zh-CN"/>
        </w:rPr>
      </w:pPr>
      <w:r>
        <w:rPr>
          <w:rFonts w:hint="eastAsia" w:ascii="方正小标宋简体" w:hAnsi="方正小标宋简体" w:eastAsia="方正小标宋简体" w:cs="方正小标宋简体"/>
          <w:color w:val="auto"/>
          <w:sz w:val="44"/>
          <w:szCs w:val="44"/>
          <w:highlight w:val="none"/>
          <w:lang w:val="en-US" w:eastAsia="zh-CN"/>
        </w:rPr>
        <w:t>海淀区消防救援支队政府专职消防员</w:t>
      </w:r>
    </w:p>
    <w:p w14:paraId="155FFA8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auto"/>
          <w:sz w:val="44"/>
          <w:szCs w:val="44"/>
          <w:highlight w:val="none"/>
          <w:lang w:val="en-US" w:eastAsia="zh-CN"/>
        </w:rPr>
      </w:pPr>
      <w:r>
        <w:rPr>
          <w:rFonts w:hint="eastAsia" w:ascii="方正小标宋简体" w:hAnsi="方正小标宋简体" w:eastAsia="方正小标宋简体" w:cs="方正小标宋简体"/>
          <w:color w:val="auto"/>
          <w:sz w:val="44"/>
          <w:szCs w:val="44"/>
          <w:highlight w:val="none"/>
          <w:lang w:val="en-US" w:eastAsia="zh-CN"/>
        </w:rPr>
        <w:t>体测项目及标准</w:t>
      </w:r>
    </w:p>
    <w:p w14:paraId="30367A8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auto"/>
          <w:sz w:val="44"/>
          <w:szCs w:val="44"/>
          <w:highlight w:val="none"/>
          <w:lang w:val="en-US" w:eastAsia="zh-CN"/>
        </w:rPr>
      </w:pPr>
    </w:p>
    <w:tbl>
      <w:tblPr>
        <w:tblStyle w:val="8"/>
        <w:tblW w:w="8538" w:type="dxa"/>
        <w:tblInd w:w="-12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44"/>
        <w:gridCol w:w="646"/>
        <w:gridCol w:w="656"/>
        <w:gridCol w:w="715"/>
        <w:gridCol w:w="716"/>
        <w:gridCol w:w="727"/>
        <w:gridCol w:w="645"/>
        <w:gridCol w:w="727"/>
        <w:gridCol w:w="704"/>
        <w:gridCol w:w="727"/>
        <w:gridCol w:w="882"/>
        <w:gridCol w:w="449"/>
      </w:tblGrid>
      <w:tr w14:paraId="7A1BEE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6" w:hRule="atLeast"/>
        </w:trPr>
        <w:tc>
          <w:tcPr>
            <w:tcW w:w="944" w:type="dxa"/>
            <w:vMerge w:val="restart"/>
            <w:tcBorders>
              <w:bottom w:val="nil"/>
            </w:tcBorders>
            <w:vAlign w:val="top"/>
          </w:tcPr>
          <w:p w14:paraId="705A5A86">
            <w:pPr>
              <w:spacing w:line="256" w:lineRule="auto"/>
              <w:rPr>
                <w:rFonts w:ascii="Arial"/>
                <w:color w:val="auto"/>
                <w:sz w:val="21"/>
                <w:highlight w:val="none"/>
              </w:rPr>
            </w:pPr>
          </w:p>
          <w:p w14:paraId="5ACFD3C1">
            <w:pPr>
              <w:pStyle w:val="9"/>
              <w:spacing w:before="42" w:line="233" w:lineRule="auto"/>
              <w:ind w:left="140" w:firstLine="180" w:firstLineChars="100"/>
              <w:jc w:val="both"/>
              <w:rPr>
                <w:color w:val="auto"/>
                <w:highlight w:val="none"/>
              </w:rPr>
            </w:pPr>
            <w:r>
              <w:rPr>
                <w:color w:val="auto"/>
                <w:spacing w:val="10"/>
                <w:sz w:val="16"/>
                <w:szCs w:val="16"/>
                <w:highlight w:val="none"/>
                <w14:textOutline w14:w="2524" w14:cap="sq" w14:cmpd="sng">
                  <w14:solidFill>
                    <w14:srgbClr w14:val="000000"/>
                  </w14:solidFill>
                  <w14:prstDash w14:val="solid"/>
                  <w14:bevel/>
                </w14:textOutline>
              </w:rPr>
              <w:t>项目</w:t>
            </w:r>
          </w:p>
        </w:tc>
        <w:tc>
          <w:tcPr>
            <w:tcW w:w="7145" w:type="dxa"/>
            <w:gridSpan w:val="10"/>
            <w:vAlign w:val="top"/>
          </w:tcPr>
          <w:p w14:paraId="1863B2B0">
            <w:pPr>
              <w:pStyle w:val="9"/>
              <w:spacing w:before="134" w:line="232" w:lineRule="auto"/>
              <w:ind w:left="1867"/>
              <w:rPr>
                <w:color w:val="auto"/>
                <w:highlight w:val="none"/>
              </w:rPr>
            </w:pPr>
            <w:r>
              <w:rPr>
                <w:color w:val="auto"/>
                <w:spacing w:val="8"/>
                <w:sz w:val="18"/>
                <w:szCs w:val="18"/>
                <w:highlight w:val="none"/>
                <w14:textOutline w14:w="2524" w14:cap="sq" w14:cmpd="sng">
                  <w14:solidFill>
                    <w14:srgbClr w14:val="000000"/>
                  </w14:solidFill>
                  <w14:prstDash w14:val="solid"/>
                  <w14:bevel/>
                </w14:textOutline>
              </w:rPr>
              <w:t>体能测试成绩对应分值、测试办法</w:t>
            </w:r>
          </w:p>
        </w:tc>
        <w:tc>
          <w:tcPr>
            <w:tcW w:w="449" w:type="dxa"/>
            <w:vMerge w:val="restart"/>
            <w:tcBorders>
              <w:bottom w:val="nil"/>
            </w:tcBorders>
            <w:vAlign w:val="top"/>
          </w:tcPr>
          <w:p w14:paraId="52C87BAB">
            <w:pPr>
              <w:spacing w:line="258" w:lineRule="auto"/>
              <w:rPr>
                <w:rFonts w:ascii="Arial"/>
                <w:color w:val="auto"/>
                <w:sz w:val="21"/>
                <w:highlight w:val="none"/>
              </w:rPr>
            </w:pPr>
          </w:p>
          <w:p w14:paraId="0EA1F21E">
            <w:pPr>
              <w:pStyle w:val="9"/>
              <w:spacing w:before="42" w:line="234" w:lineRule="auto"/>
              <w:ind w:left="123"/>
              <w:jc w:val="both"/>
              <w:rPr>
                <w:color w:val="auto"/>
                <w:highlight w:val="none"/>
              </w:rPr>
            </w:pPr>
            <w:r>
              <w:rPr>
                <w:color w:val="auto"/>
                <w:spacing w:val="4"/>
                <w:highlight w:val="none"/>
                <w14:textOutline w14:w="2524" w14:cap="sq" w14:cmpd="sng">
                  <w14:solidFill>
                    <w14:srgbClr w14:val="000000"/>
                  </w14:solidFill>
                  <w14:prstDash w14:val="solid"/>
                  <w14:bevel/>
                </w14:textOutline>
              </w:rPr>
              <w:t>备注</w:t>
            </w:r>
          </w:p>
        </w:tc>
      </w:tr>
      <w:tr w14:paraId="44A8B7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trPr>
        <w:tc>
          <w:tcPr>
            <w:tcW w:w="944" w:type="dxa"/>
            <w:vMerge w:val="continue"/>
            <w:tcBorders>
              <w:top w:val="nil"/>
            </w:tcBorders>
            <w:vAlign w:val="top"/>
          </w:tcPr>
          <w:p w14:paraId="79B4CB4A">
            <w:pPr>
              <w:rPr>
                <w:rFonts w:ascii="Arial"/>
                <w:color w:val="auto"/>
                <w:sz w:val="21"/>
                <w:highlight w:val="none"/>
              </w:rPr>
            </w:pPr>
          </w:p>
        </w:tc>
        <w:tc>
          <w:tcPr>
            <w:tcW w:w="646" w:type="dxa"/>
            <w:vAlign w:val="center"/>
          </w:tcPr>
          <w:p w14:paraId="4D72D497">
            <w:pPr>
              <w:pStyle w:val="9"/>
              <w:spacing w:before="123" w:line="233" w:lineRule="auto"/>
              <w:ind w:left="166"/>
              <w:jc w:val="center"/>
              <w:rPr>
                <w:color w:val="auto"/>
                <w:sz w:val="15"/>
                <w:szCs w:val="15"/>
                <w:highlight w:val="none"/>
              </w:rPr>
            </w:pPr>
            <w:r>
              <w:rPr>
                <w:rFonts w:hint="eastAsia"/>
                <w:color w:val="auto"/>
                <w:spacing w:val="1"/>
                <w:sz w:val="15"/>
                <w:szCs w:val="15"/>
                <w:highlight w:val="none"/>
                <w:lang w:val="en-US" w:eastAsia="zh-CN"/>
              </w:rPr>
              <w:t>2.5</w:t>
            </w:r>
            <w:r>
              <w:rPr>
                <w:color w:val="auto"/>
                <w:spacing w:val="1"/>
                <w:sz w:val="15"/>
                <w:szCs w:val="15"/>
                <w:highlight w:val="none"/>
              </w:rPr>
              <w:t>分</w:t>
            </w:r>
          </w:p>
        </w:tc>
        <w:tc>
          <w:tcPr>
            <w:tcW w:w="656" w:type="dxa"/>
            <w:vAlign w:val="center"/>
          </w:tcPr>
          <w:p w14:paraId="6393EB34">
            <w:pPr>
              <w:pStyle w:val="9"/>
              <w:spacing w:before="123" w:line="233" w:lineRule="auto"/>
              <w:ind w:left="168"/>
              <w:jc w:val="center"/>
              <w:rPr>
                <w:color w:val="auto"/>
                <w:sz w:val="15"/>
                <w:szCs w:val="15"/>
                <w:highlight w:val="none"/>
              </w:rPr>
            </w:pPr>
            <w:r>
              <w:rPr>
                <w:rFonts w:hint="eastAsia"/>
                <w:color w:val="auto"/>
                <w:spacing w:val="2"/>
                <w:sz w:val="15"/>
                <w:szCs w:val="15"/>
                <w:highlight w:val="none"/>
                <w:lang w:val="en-US" w:eastAsia="zh-CN"/>
              </w:rPr>
              <w:t>5</w:t>
            </w:r>
            <w:r>
              <w:rPr>
                <w:color w:val="auto"/>
                <w:spacing w:val="2"/>
                <w:sz w:val="15"/>
                <w:szCs w:val="15"/>
                <w:highlight w:val="none"/>
              </w:rPr>
              <w:t>分</w:t>
            </w:r>
          </w:p>
        </w:tc>
        <w:tc>
          <w:tcPr>
            <w:tcW w:w="715" w:type="dxa"/>
            <w:vAlign w:val="center"/>
          </w:tcPr>
          <w:p w14:paraId="041F6421">
            <w:pPr>
              <w:pStyle w:val="9"/>
              <w:spacing w:before="123" w:line="233" w:lineRule="auto"/>
              <w:ind w:left="190"/>
              <w:jc w:val="both"/>
              <w:rPr>
                <w:color w:val="auto"/>
                <w:sz w:val="15"/>
                <w:szCs w:val="15"/>
                <w:highlight w:val="none"/>
              </w:rPr>
            </w:pPr>
            <w:r>
              <w:rPr>
                <w:rFonts w:hint="eastAsia"/>
                <w:color w:val="auto"/>
                <w:spacing w:val="1"/>
                <w:sz w:val="15"/>
                <w:szCs w:val="15"/>
                <w:highlight w:val="none"/>
                <w:lang w:val="en-US" w:eastAsia="zh-CN"/>
              </w:rPr>
              <w:t>7.5</w:t>
            </w:r>
            <w:r>
              <w:rPr>
                <w:color w:val="auto"/>
                <w:spacing w:val="1"/>
                <w:sz w:val="15"/>
                <w:szCs w:val="15"/>
                <w:highlight w:val="none"/>
              </w:rPr>
              <w:t>分</w:t>
            </w:r>
          </w:p>
        </w:tc>
        <w:tc>
          <w:tcPr>
            <w:tcW w:w="716" w:type="dxa"/>
            <w:vAlign w:val="center"/>
          </w:tcPr>
          <w:p w14:paraId="647BBC66">
            <w:pPr>
              <w:pStyle w:val="9"/>
              <w:spacing w:before="123" w:line="233" w:lineRule="auto"/>
              <w:jc w:val="center"/>
              <w:rPr>
                <w:color w:val="auto"/>
                <w:sz w:val="15"/>
                <w:szCs w:val="15"/>
                <w:highlight w:val="none"/>
              </w:rPr>
            </w:pPr>
            <w:r>
              <w:rPr>
                <w:rFonts w:hint="eastAsia"/>
                <w:color w:val="auto"/>
                <w:spacing w:val="4"/>
                <w:sz w:val="15"/>
                <w:szCs w:val="15"/>
                <w:highlight w:val="none"/>
                <w:lang w:val="en-US" w:eastAsia="zh-CN"/>
              </w:rPr>
              <w:t>10</w:t>
            </w:r>
            <w:r>
              <w:rPr>
                <w:color w:val="auto"/>
                <w:spacing w:val="4"/>
                <w:sz w:val="15"/>
                <w:szCs w:val="15"/>
                <w:highlight w:val="none"/>
              </w:rPr>
              <w:t>分</w:t>
            </w:r>
          </w:p>
        </w:tc>
        <w:tc>
          <w:tcPr>
            <w:tcW w:w="727" w:type="dxa"/>
            <w:vAlign w:val="center"/>
          </w:tcPr>
          <w:p w14:paraId="44E18DD2">
            <w:pPr>
              <w:pStyle w:val="9"/>
              <w:spacing w:before="123" w:line="233" w:lineRule="auto"/>
              <w:jc w:val="center"/>
              <w:rPr>
                <w:color w:val="auto"/>
                <w:sz w:val="15"/>
                <w:szCs w:val="15"/>
                <w:highlight w:val="none"/>
              </w:rPr>
            </w:pPr>
            <w:r>
              <w:rPr>
                <w:rFonts w:hint="eastAsia"/>
                <w:color w:val="auto"/>
                <w:spacing w:val="2"/>
                <w:sz w:val="15"/>
                <w:szCs w:val="15"/>
                <w:highlight w:val="none"/>
                <w:lang w:val="en-US" w:eastAsia="zh-CN"/>
              </w:rPr>
              <w:t>12.5</w:t>
            </w:r>
            <w:r>
              <w:rPr>
                <w:color w:val="auto"/>
                <w:spacing w:val="2"/>
                <w:sz w:val="15"/>
                <w:szCs w:val="15"/>
                <w:highlight w:val="none"/>
              </w:rPr>
              <w:t>分</w:t>
            </w:r>
          </w:p>
        </w:tc>
        <w:tc>
          <w:tcPr>
            <w:tcW w:w="645" w:type="dxa"/>
            <w:vAlign w:val="center"/>
          </w:tcPr>
          <w:p w14:paraId="60F53698">
            <w:pPr>
              <w:pStyle w:val="9"/>
              <w:spacing w:before="123" w:line="233" w:lineRule="auto"/>
              <w:ind w:left="164"/>
              <w:jc w:val="center"/>
              <w:rPr>
                <w:color w:val="auto"/>
                <w:sz w:val="15"/>
                <w:szCs w:val="15"/>
                <w:highlight w:val="none"/>
              </w:rPr>
            </w:pPr>
            <w:r>
              <w:rPr>
                <w:rFonts w:hint="eastAsia"/>
                <w:color w:val="auto"/>
                <w:spacing w:val="2"/>
                <w:sz w:val="15"/>
                <w:szCs w:val="15"/>
                <w:highlight w:val="none"/>
                <w:lang w:val="en-US" w:eastAsia="zh-CN"/>
              </w:rPr>
              <w:t>15</w:t>
            </w:r>
            <w:r>
              <w:rPr>
                <w:color w:val="auto"/>
                <w:spacing w:val="2"/>
                <w:sz w:val="15"/>
                <w:szCs w:val="15"/>
                <w:highlight w:val="none"/>
              </w:rPr>
              <w:t>分</w:t>
            </w:r>
          </w:p>
        </w:tc>
        <w:tc>
          <w:tcPr>
            <w:tcW w:w="727" w:type="dxa"/>
            <w:vAlign w:val="center"/>
          </w:tcPr>
          <w:p w14:paraId="31CFC1A0">
            <w:pPr>
              <w:pStyle w:val="9"/>
              <w:spacing w:before="123" w:line="233" w:lineRule="auto"/>
              <w:ind w:left="208"/>
              <w:jc w:val="center"/>
              <w:rPr>
                <w:color w:val="auto"/>
                <w:sz w:val="15"/>
                <w:szCs w:val="15"/>
                <w:highlight w:val="none"/>
              </w:rPr>
            </w:pPr>
            <w:r>
              <w:rPr>
                <w:rFonts w:hint="eastAsia"/>
                <w:color w:val="auto"/>
                <w:spacing w:val="1"/>
                <w:sz w:val="15"/>
                <w:szCs w:val="15"/>
                <w:highlight w:val="none"/>
                <w:lang w:val="en-US" w:eastAsia="zh-CN"/>
              </w:rPr>
              <w:t>17.5</w:t>
            </w:r>
            <w:r>
              <w:rPr>
                <w:color w:val="auto"/>
                <w:spacing w:val="1"/>
                <w:sz w:val="15"/>
                <w:szCs w:val="15"/>
                <w:highlight w:val="none"/>
              </w:rPr>
              <w:t>分</w:t>
            </w:r>
          </w:p>
        </w:tc>
        <w:tc>
          <w:tcPr>
            <w:tcW w:w="704" w:type="dxa"/>
            <w:vAlign w:val="center"/>
          </w:tcPr>
          <w:p w14:paraId="72339EF6">
            <w:pPr>
              <w:pStyle w:val="9"/>
              <w:spacing w:before="123" w:line="233" w:lineRule="auto"/>
              <w:ind w:left="195"/>
              <w:jc w:val="both"/>
              <w:rPr>
                <w:color w:val="auto"/>
                <w:sz w:val="15"/>
                <w:szCs w:val="15"/>
                <w:highlight w:val="none"/>
              </w:rPr>
            </w:pPr>
            <w:r>
              <w:rPr>
                <w:rFonts w:hint="eastAsia"/>
                <w:color w:val="auto"/>
                <w:spacing w:val="2"/>
                <w:sz w:val="15"/>
                <w:szCs w:val="15"/>
                <w:highlight w:val="none"/>
                <w:lang w:val="en-US" w:eastAsia="zh-CN"/>
              </w:rPr>
              <w:t>20</w:t>
            </w:r>
            <w:r>
              <w:rPr>
                <w:color w:val="auto"/>
                <w:spacing w:val="2"/>
                <w:sz w:val="15"/>
                <w:szCs w:val="15"/>
                <w:highlight w:val="none"/>
              </w:rPr>
              <w:t>分</w:t>
            </w:r>
          </w:p>
        </w:tc>
        <w:tc>
          <w:tcPr>
            <w:tcW w:w="727" w:type="dxa"/>
            <w:vAlign w:val="center"/>
          </w:tcPr>
          <w:p w14:paraId="22AFB1E4">
            <w:pPr>
              <w:pStyle w:val="9"/>
              <w:spacing w:before="123" w:line="233" w:lineRule="auto"/>
              <w:ind w:left="207"/>
              <w:jc w:val="both"/>
              <w:rPr>
                <w:color w:val="auto"/>
                <w:sz w:val="15"/>
                <w:szCs w:val="15"/>
                <w:highlight w:val="none"/>
              </w:rPr>
            </w:pPr>
            <w:r>
              <w:rPr>
                <w:rFonts w:hint="eastAsia"/>
                <w:color w:val="auto"/>
                <w:spacing w:val="2"/>
                <w:sz w:val="15"/>
                <w:szCs w:val="15"/>
                <w:highlight w:val="none"/>
                <w:lang w:val="en-US" w:eastAsia="zh-CN"/>
              </w:rPr>
              <w:t>22.5</w:t>
            </w:r>
            <w:r>
              <w:rPr>
                <w:color w:val="auto"/>
                <w:spacing w:val="2"/>
                <w:sz w:val="15"/>
                <w:szCs w:val="15"/>
                <w:highlight w:val="none"/>
              </w:rPr>
              <w:t>分</w:t>
            </w:r>
          </w:p>
        </w:tc>
        <w:tc>
          <w:tcPr>
            <w:tcW w:w="882" w:type="dxa"/>
            <w:vAlign w:val="center"/>
          </w:tcPr>
          <w:p w14:paraId="6CBC6785">
            <w:pPr>
              <w:pStyle w:val="9"/>
              <w:spacing w:before="123" w:line="233" w:lineRule="auto"/>
              <w:ind w:left="171"/>
              <w:jc w:val="both"/>
              <w:rPr>
                <w:color w:val="auto"/>
                <w:sz w:val="15"/>
                <w:szCs w:val="15"/>
                <w:highlight w:val="none"/>
              </w:rPr>
            </w:pPr>
            <w:r>
              <w:rPr>
                <w:rFonts w:hint="eastAsia"/>
                <w:b w:val="0"/>
                <w:bCs w:val="0"/>
                <w:color w:val="auto"/>
                <w:spacing w:val="-3"/>
                <w:sz w:val="15"/>
                <w:szCs w:val="15"/>
                <w:highlight w:val="none"/>
                <w:lang w:val="en-US" w:eastAsia="zh-CN"/>
              </w:rPr>
              <w:t>25</w:t>
            </w:r>
            <w:r>
              <w:rPr>
                <w:b w:val="0"/>
                <w:bCs w:val="0"/>
                <w:color w:val="auto"/>
                <w:spacing w:val="-3"/>
                <w:sz w:val="15"/>
                <w:szCs w:val="15"/>
                <w:highlight w:val="none"/>
              </w:rPr>
              <w:t>分</w:t>
            </w:r>
          </w:p>
        </w:tc>
        <w:tc>
          <w:tcPr>
            <w:tcW w:w="449" w:type="dxa"/>
            <w:vMerge w:val="continue"/>
            <w:tcBorders>
              <w:top w:val="nil"/>
            </w:tcBorders>
            <w:vAlign w:val="top"/>
          </w:tcPr>
          <w:p w14:paraId="62544AB0">
            <w:pPr>
              <w:rPr>
                <w:rFonts w:ascii="Arial"/>
                <w:color w:val="auto"/>
                <w:sz w:val="21"/>
                <w:highlight w:val="none"/>
              </w:rPr>
            </w:pPr>
          </w:p>
        </w:tc>
      </w:tr>
      <w:tr w14:paraId="2705C9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944" w:type="dxa"/>
            <w:vMerge w:val="restart"/>
            <w:tcBorders>
              <w:bottom w:val="nil"/>
            </w:tcBorders>
            <w:vAlign w:val="top"/>
          </w:tcPr>
          <w:p w14:paraId="2E106F7C">
            <w:pPr>
              <w:spacing w:line="357" w:lineRule="auto"/>
              <w:rPr>
                <w:rFonts w:ascii="Arial"/>
                <w:color w:val="auto"/>
                <w:sz w:val="21"/>
                <w:highlight w:val="none"/>
              </w:rPr>
            </w:pPr>
          </w:p>
          <w:p w14:paraId="0864791B">
            <w:pPr>
              <w:spacing w:line="358" w:lineRule="auto"/>
              <w:jc w:val="center"/>
              <w:rPr>
                <w:rFonts w:ascii="Arial"/>
                <w:color w:val="auto"/>
                <w:sz w:val="21"/>
                <w:highlight w:val="none"/>
              </w:rPr>
            </w:pPr>
          </w:p>
          <w:p w14:paraId="451E74CB">
            <w:pPr>
              <w:pStyle w:val="9"/>
              <w:spacing w:before="42" w:line="232" w:lineRule="auto"/>
              <w:ind w:left="73"/>
              <w:jc w:val="center"/>
              <w:rPr>
                <w:color w:val="auto"/>
                <w:highlight w:val="none"/>
              </w:rPr>
            </w:pPr>
            <w:r>
              <w:rPr>
                <w:color w:val="auto"/>
                <w:spacing w:val="3"/>
                <w:highlight w:val="none"/>
              </w:rPr>
              <w:t>1000米</w:t>
            </w:r>
            <w:r>
              <w:rPr>
                <w:color w:val="auto"/>
                <w:highlight w:val="none"/>
              </w:rPr>
              <w:t>跑</w:t>
            </w:r>
          </w:p>
          <w:p w14:paraId="143C4781">
            <w:pPr>
              <w:pStyle w:val="9"/>
              <w:spacing w:before="105" w:line="307" w:lineRule="exact"/>
              <w:ind w:right="8" w:rightChars="0"/>
              <w:jc w:val="center"/>
              <w:rPr>
                <w:rFonts w:hint="default"/>
                <w:color w:val="auto"/>
                <w:highlight w:val="none"/>
                <w:lang w:val="en-US"/>
              </w:rPr>
            </w:pPr>
            <w:r>
              <w:rPr>
                <w:color w:val="auto"/>
                <w:spacing w:val="-7"/>
                <w:position w:val="13"/>
                <w:highlight w:val="none"/>
              </w:rPr>
              <w:t>( 分</w:t>
            </w:r>
            <w:r>
              <w:rPr>
                <w:rFonts w:hint="eastAsia"/>
                <w:color w:val="auto"/>
                <w:spacing w:val="-7"/>
                <w:position w:val="13"/>
                <w:highlight w:val="none"/>
                <w:lang w:eastAsia="zh-CN"/>
              </w:rPr>
              <w:t>、</w:t>
            </w:r>
            <w:r>
              <w:rPr>
                <w:rFonts w:hint="eastAsia"/>
                <w:color w:val="auto"/>
                <w:spacing w:val="-7"/>
                <w:position w:val="13"/>
                <w:highlight w:val="none"/>
                <w:lang w:val="en-US" w:eastAsia="zh-CN"/>
              </w:rPr>
              <w:t>秒）</w:t>
            </w:r>
          </w:p>
        </w:tc>
        <w:tc>
          <w:tcPr>
            <w:tcW w:w="646" w:type="dxa"/>
            <w:vAlign w:val="center"/>
          </w:tcPr>
          <w:p w14:paraId="043269C9">
            <w:pPr>
              <w:pStyle w:val="9"/>
              <w:spacing w:before="136" w:line="214" w:lineRule="auto"/>
              <w:ind w:left="85" w:leftChars="0"/>
              <w:jc w:val="center"/>
              <w:rPr>
                <w:color w:val="auto"/>
                <w:sz w:val="15"/>
                <w:szCs w:val="15"/>
                <w:highlight w:val="none"/>
              </w:rPr>
            </w:pPr>
            <w:r>
              <w:rPr>
                <w:color w:val="auto"/>
                <w:spacing w:val="3"/>
                <w:highlight w:val="none"/>
              </w:rPr>
              <w:t>4'35"</w:t>
            </w:r>
          </w:p>
        </w:tc>
        <w:tc>
          <w:tcPr>
            <w:tcW w:w="656" w:type="dxa"/>
            <w:vAlign w:val="center"/>
          </w:tcPr>
          <w:p w14:paraId="2BE80C79">
            <w:pPr>
              <w:pStyle w:val="9"/>
              <w:spacing w:before="136" w:line="214" w:lineRule="auto"/>
              <w:ind w:left="17" w:leftChars="0"/>
              <w:jc w:val="center"/>
              <w:rPr>
                <w:color w:val="auto"/>
                <w:sz w:val="15"/>
                <w:szCs w:val="15"/>
                <w:highlight w:val="none"/>
              </w:rPr>
            </w:pPr>
            <w:r>
              <w:rPr>
                <w:color w:val="auto"/>
                <w:spacing w:val="3"/>
                <w:highlight w:val="none"/>
              </w:rPr>
              <w:t>4'20"</w:t>
            </w:r>
          </w:p>
        </w:tc>
        <w:tc>
          <w:tcPr>
            <w:tcW w:w="715" w:type="dxa"/>
            <w:vAlign w:val="center"/>
          </w:tcPr>
          <w:p w14:paraId="5609BA20">
            <w:pPr>
              <w:pStyle w:val="9"/>
              <w:spacing w:before="136" w:line="214" w:lineRule="auto"/>
              <w:ind w:left="117" w:leftChars="0"/>
              <w:jc w:val="center"/>
              <w:rPr>
                <w:color w:val="auto"/>
                <w:sz w:val="15"/>
                <w:szCs w:val="15"/>
                <w:highlight w:val="none"/>
              </w:rPr>
            </w:pPr>
            <w:r>
              <w:rPr>
                <w:color w:val="auto"/>
                <w:spacing w:val="3"/>
                <w:highlight w:val="none"/>
              </w:rPr>
              <w:t>4'15"</w:t>
            </w:r>
          </w:p>
        </w:tc>
        <w:tc>
          <w:tcPr>
            <w:tcW w:w="716" w:type="dxa"/>
            <w:vAlign w:val="center"/>
          </w:tcPr>
          <w:p w14:paraId="480AA508">
            <w:pPr>
              <w:pStyle w:val="9"/>
              <w:spacing w:before="136" w:line="214" w:lineRule="auto"/>
              <w:ind w:left="89" w:leftChars="0"/>
              <w:jc w:val="center"/>
              <w:rPr>
                <w:color w:val="auto"/>
                <w:sz w:val="15"/>
                <w:szCs w:val="15"/>
                <w:highlight w:val="none"/>
              </w:rPr>
            </w:pPr>
            <w:r>
              <w:rPr>
                <w:color w:val="auto"/>
                <w:spacing w:val="2"/>
                <w:highlight w:val="none"/>
              </w:rPr>
              <w:t>4'10</w:t>
            </w:r>
            <w:r>
              <w:rPr>
                <w:color w:val="auto"/>
                <w:spacing w:val="-47"/>
                <w:highlight w:val="none"/>
              </w:rPr>
              <w:t xml:space="preserve"> </w:t>
            </w:r>
            <w:r>
              <w:rPr>
                <w:color w:val="auto"/>
                <w:spacing w:val="2"/>
                <w:highlight w:val="none"/>
              </w:rPr>
              <w:t>°</w:t>
            </w:r>
          </w:p>
        </w:tc>
        <w:tc>
          <w:tcPr>
            <w:tcW w:w="727" w:type="dxa"/>
            <w:vAlign w:val="center"/>
          </w:tcPr>
          <w:p w14:paraId="2CBA2E81">
            <w:pPr>
              <w:pStyle w:val="9"/>
              <w:spacing w:before="136" w:line="214" w:lineRule="auto"/>
              <w:ind w:left="131" w:leftChars="0"/>
              <w:jc w:val="center"/>
              <w:rPr>
                <w:color w:val="auto"/>
                <w:sz w:val="15"/>
                <w:szCs w:val="15"/>
                <w:highlight w:val="none"/>
              </w:rPr>
            </w:pPr>
            <w:r>
              <w:rPr>
                <w:color w:val="auto"/>
                <w:spacing w:val="3"/>
                <w:highlight w:val="none"/>
              </w:rPr>
              <w:t>4'05"</w:t>
            </w:r>
          </w:p>
        </w:tc>
        <w:tc>
          <w:tcPr>
            <w:tcW w:w="645" w:type="dxa"/>
            <w:vAlign w:val="center"/>
          </w:tcPr>
          <w:p w14:paraId="3C1D0B44">
            <w:pPr>
              <w:pStyle w:val="9"/>
              <w:spacing w:before="136" w:line="214" w:lineRule="auto"/>
              <w:ind w:left="23" w:leftChars="0"/>
              <w:jc w:val="center"/>
              <w:rPr>
                <w:color w:val="auto"/>
                <w:sz w:val="15"/>
                <w:szCs w:val="15"/>
                <w:highlight w:val="none"/>
              </w:rPr>
            </w:pPr>
            <w:r>
              <w:rPr>
                <w:color w:val="auto"/>
                <w:spacing w:val="3"/>
                <w:highlight w:val="none"/>
              </w:rPr>
              <w:t>4'00"</w:t>
            </w:r>
          </w:p>
        </w:tc>
        <w:tc>
          <w:tcPr>
            <w:tcW w:w="727" w:type="dxa"/>
            <w:vAlign w:val="center"/>
          </w:tcPr>
          <w:p w14:paraId="4C923A84">
            <w:pPr>
              <w:pStyle w:val="9"/>
              <w:spacing w:before="136" w:line="214" w:lineRule="auto"/>
              <w:ind w:left="135" w:leftChars="0"/>
              <w:jc w:val="center"/>
              <w:rPr>
                <w:color w:val="auto"/>
                <w:sz w:val="15"/>
                <w:szCs w:val="15"/>
                <w:highlight w:val="none"/>
              </w:rPr>
            </w:pPr>
            <w:r>
              <w:rPr>
                <w:color w:val="auto"/>
                <w:spacing w:val="1"/>
                <w:highlight w:val="none"/>
              </w:rPr>
              <w:t>3'55"</w:t>
            </w:r>
          </w:p>
        </w:tc>
        <w:tc>
          <w:tcPr>
            <w:tcW w:w="704" w:type="dxa"/>
            <w:vAlign w:val="center"/>
          </w:tcPr>
          <w:p w14:paraId="3FE9BB1A">
            <w:pPr>
              <w:pStyle w:val="9"/>
              <w:spacing w:before="136" w:line="214" w:lineRule="auto"/>
              <w:ind w:left="128" w:leftChars="0"/>
              <w:jc w:val="center"/>
              <w:rPr>
                <w:color w:val="auto"/>
                <w:sz w:val="15"/>
                <w:szCs w:val="15"/>
                <w:highlight w:val="none"/>
              </w:rPr>
            </w:pPr>
            <w:r>
              <w:rPr>
                <w:color w:val="auto"/>
                <w:spacing w:val="1"/>
                <w:highlight w:val="none"/>
              </w:rPr>
              <w:t>3'50"</w:t>
            </w:r>
          </w:p>
        </w:tc>
        <w:tc>
          <w:tcPr>
            <w:tcW w:w="727" w:type="dxa"/>
            <w:vAlign w:val="center"/>
          </w:tcPr>
          <w:p w14:paraId="28948736">
            <w:pPr>
              <w:pStyle w:val="9"/>
              <w:spacing w:before="136" w:line="214" w:lineRule="auto"/>
              <w:ind w:left="139" w:leftChars="0"/>
              <w:jc w:val="center"/>
              <w:rPr>
                <w:color w:val="auto"/>
                <w:sz w:val="15"/>
                <w:szCs w:val="15"/>
                <w:highlight w:val="none"/>
              </w:rPr>
            </w:pPr>
            <w:r>
              <w:rPr>
                <w:color w:val="auto"/>
                <w:spacing w:val="1"/>
                <w:highlight w:val="none"/>
              </w:rPr>
              <w:t>3'45"</w:t>
            </w:r>
          </w:p>
        </w:tc>
        <w:tc>
          <w:tcPr>
            <w:tcW w:w="882" w:type="dxa"/>
            <w:vAlign w:val="center"/>
          </w:tcPr>
          <w:p w14:paraId="45A30A38">
            <w:pPr>
              <w:pStyle w:val="9"/>
              <w:spacing w:before="136" w:line="214" w:lineRule="auto"/>
              <w:ind w:left="130" w:leftChars="0"/>
              <w:jc w:val="center"/>
              <w:rPr>
                <w:color w:val="auto"/>
                <w:sz w:val="15"/>
                <w:szCs w:val="15"/>
                <w:highlight w:val="none"/>
              </w:rPr>
            </w:pPr>
            <w:r>
              <w:rPr>
                <w:color w:val="auto"/>
                <w:spacing w:val="1"/>
                <w:highlight w:val="none"/>
              </w:rPr>
              <w:t>3'40"</w:t>
            </w:r>
          </w:p>
        </w:tc>
        <w:tc>
          <w:tcPr>
            <w:tcW w:w="449" w:type="dxa"/>
            <w:vMerge w:val="restart"/>
            <w:vAlign w:val="top"/>
          </w:tcPr>
          <w:p w14:paraId="2E509760">
            <w:pPr>
              <w:spacing w:line="248" w:lineRule="auto"/>
              <w:rPr>
                <w:rFonts w:ascii="Arial"/>
                <w:color w:val="auto"/>
                <w:sz w:val="21"/>
                <w:highlight w:val="none"/>
              </w:rPr>
            </w:pPr>
          </w:p>
          <w:p w14:paraId="4B1580FF">
            <w:pPr>
              <w:spacing w:line="248" w:lineRule="auto"/>
              <w:rPr>
                <w:rFonts w:ascii="Arial"/>
                <w:color w:val="auto"/>
                <w:sz w:val="21"/>
                <w:highlight w:val="none"/>
              </w:rPr>
            </w:pPr>
          </w:p>
          <w:p w14:paraId="12EF51FE">
            <w:pPr>
              <w:spacing w:line="248" w:lineRule="auto"/>
              <w:rPr>
                <w:rFonts w:ascii="Arial"/>
                <w:color w:val="auto"/>
                <w:sz w:val="21"/>
                <w:highlight w:val="none"/>
              </w:rPr>
            </w:pPr>
          </w:p>
          <w:p w14:paraId="526AE403">
            <w:pPr>
              <w:spacing w:line="248" w:lineRule="auto"/>
              <w:rPr>
                <w:rFonts w:ascii="Arial"/>
                <w:color w:val="auto"/>
                <w:sz w:val="21"/>
                <w:highlight w:val="none"/>
              </w:rPr>
            </w:pPr>
          </w:p>
          <w:p w14:paraId="62D6CD3F">
            <w:pPr>
              <w:spacing w:line="248" w:lineRule="auto"/>
              <w:rPr>
                <w:rFonts w:ascii="Arial"/>
                <w:color w:val="auto"/>
                <w:sz w:val="21"/>
                <w:highlight w:val="none"/>
              </w:rPr>
            </w:pPr>
          </w:p>
          <w:p w14:paraId="26CC5E21">
            <w:pPr>
              <w:spacing w:line="248" w:lineRule="auto"/>
              <w:rPr>
                <w:rFonts w:ascii="Arial"/>
                <w:color w:val="auto"/>
                <w:sz w:val="21"/>
                <w:highlight w:val="none"/>
              </w:rPr>
            </w:pPr>
          </w:p>
          <w:p w14:paraId="5B6AD110">
            <w:pPr>
              <w:spacing w:line="248" w:lineRule="auto"/>
              <w:rPr>
                <w:rFonts w:ascii="Arial"/>
                <w:color w:val="auto"/>
                <w:sz w:val="21"/>
                <w:highlight w:val="none"/>
              </w:rPr>
            </w:pPr>
          </w:p>
          <w:p w14:paraId="17F03763">
            <w:pPr>
              <w:spacing w:line="249" w:lineRule="auto"/>
              <w:rPr>
                <w:rFonts w:ascii="Arial"/>
                <w:color w:val="auto"/>
                <w:sz w:val="21"/>
                <w:highlight w:val="none"/>
              </w:rPr>
            </w:pPr>
          </w:p>
          <w:p w14:paraId="674C398A">
            <w:pPr>
              <w:pStyle w:val="9"/>
              <w:spacing w:line="232" w:lineRule="auto"/>
              <w:rPr>
                <w:color w:val="auto"/>
                <w:highlight w:val="none"/>
              </w:rPr>
            </w:pPr>
          </w:p>
          <w:p w14:paraId="099477B5">
            <w:pPr>
              <w:spacing w:line="251" w:lineRule="auto"/>
              <w:rPr>
                <w:rFonts w:ascii="Arial"/>
                <w:color w:val="auto"/>
                <w:sz w:val="21"/>
                <w:highlight w:val="none"/>
              </w:rPr>
            </w:pPr>
          </w:p>
          <w:p w14:paraId="28935AFD">
            <w:pPr>
              <w:spacing w:line="251" w:lineRule="auto"/>
              <w:rPr>
                <w:rFonts w:ascii="Arial"/>
                <w:color w:val="auto"/>
                <w:sz w:val="21"/>
                <w:highlight w:val="none"/>
              </w:rPr>
            </w:pPr>
          </w:p>
          <w:p w14:paraId="0753CC79">
            <w:pPr>
              <w:spacing w:line="251" w:lineRule="auto"/>
              <w:rPr>
                <w:rFonts w:ascii="Arial"/>
                <w:color w:val="auto"/>
                <w:sz w:val="21"/>
                <w:highlight w:val="none"/>
              </w:rPr>
            </w:pPr>
          </w:p>
          <w:p w14:paraId="664D6691">
            <w:pPr>
              <w:spacing w:line="251" w:lineRule="auto"/>
              <w:rPr>
                <w:rFonts w:ascii="Arial"/>
                <w:color w:val="auto"/>
                <w:sz w:val="21"/>
                <w:highlight w:val="none"/>
              </w:rPr>
            </w:pPr>
          </w:p>
          <w:p w14:paraId="5A023808">
            <w:pPr>
              <w:spacing w:line="251" w:lineRule="auto"/>
              <w:rPr>
                <w:rFonts w:ascii="Arial"/>
                <w:color w:val="auto"/>
                <w:sz w:val="21"/>
                <w:highlight w:val="none"/>
              </w:rPr>
            </w:pPr>
          </w:p>
          <w:p w14:paraId="72B35BEE">
            <w:pPr>
              <w:spacing w:line="251" w:lineRule="auto"/>
              <w:rPr>
                <w:rFonts w:ascii="Arial"/>
                <w:color w:val="auto"/>
                <w:sz w:val="21"/>
                <w:highlight w:val="none"/>
              </w:rPr>
            </w:pPr>
          </w:p>
          <w:p w14:paraId="6948565C">
            <w:pPr>
              <w:pStyle w:val="9"/>
              <w:spacing w:line="232" w:lineRule="auto"/>
              <w:ind w:left="49"/>
              <w:rPr>
                <w:color w:val="auto"/>
                <w:highlight w:val="none"/>
              </w:rPr>
            </w:pPr>
          </w:p>
        </w:tc>
      </w:tr>
      <w:tr w14:paraId="22F67B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14" w:hRule="atLeast"/>
        </w:trPr>
        <w:tc>
          <w:tcPr>
            <w:tcW w:w="944" w:type="dxa"/>
            <w:vMerge w:val="continue"/>
            <w:tcBorders>
              <w:top w:val="nil"/>
            </w:tcBorders>
            <w:vAlign w:val="top"/>
          </w:tcPr>
          <w:p w14:paraId="4DCFCA10">
            <w:pPr>
              <w:rPr>
                <w:rFonts w:ascii="Arial"/>
                <w:color w:val="auto"/>
                <w:sz w:val="21"/>
                <w:highlight w:val="none"/>
              </w:rPr>
            </w:pPr>
          </w:p>
        </w:tc>
        <w:tc>
          <w:tcPr>
            <w:tcW w:w="7145" w:type="dxa"/>
            <w:gridSpan w:val="10"/>
            <w:vAlign w:val="top"/>
          </w:tcPr>
          <w:p w14:paraId="3F59ECD8">
            <w:pPr>
              <w:pStyle w:val="9"/>
              <w:spacing w:before="169" w:line="232" w:lineRule="auto"/>
              <w:rPr>
                <w:color w:val="auto"/>
                <w:spacing w:val="3"/>
                <w:highlight w:val="none"/>
              </w:rPr>
            </w:pPr>
          </w:p>
          <w:p w14:paraId="5B340AA8">
            <w:pPr>
              <w:pStyle w:val="9"/>
              <w:spacing w:before="169" w:line="232" w:lineRule="auto"/>
              <w:ind w:left="36"/>
              <w:rPr>
                <w:color w:val="auto"/>
                <w:sz w:val="15"/>
                <w:szCs w:val="15"/>
                <w:highlight w:val="none"/>
              </w:rPr>
            </w:pPr>
            <w:r>
              <w:rPr>
                <w:color w:val="auto"/>
                <w:spacing w:val="3"/>
                <w:sz w:val="15"/>
                <w:szCs w:val="15"/>
                <w:highlight w:val="none"/>
              </w:rPr>
              <w:t>1.分组考核。</w:t>
            </w:r>
          </w:p>
          <w:p w14:paraId="559F5DBF">
            <w:pPr>
              <w:pStyle w:val="9"/>
              <w:spacing w:before="124" w:line="231" w:lineRule="auto"/>
              <w:ind w:left="27"/>
              <w:rPr>
                <w:color w:val="auto"/>
                <w:sz w:val="15"/>
                <w:szCs w:val="15"/>
                <w:highlight w:val="none"/>
              </w:rPr>
            </w:pPr>
            <w:r>
              <w:rPr>
                <w:color w:val="auto"/>
                <w:spacing w:val="9"/>
                <w:sz w:val="15"/>
                <w:szCs w:val="15"/>
                <w:highlight w:val="none"/>
              </w:rPr>
              <w:t>2.在跑道或平地上标出起点线，考生从起点线处听到起跑口令后起跑，完成1000米距</w:t>
            </w:r>
            <w:r>
              <w:rPr>
                <w:color w:val="auto"/>
                <w:spacing w:val="8"/>
                <w:sz w:val="15"/>
                <w:szCs w:val="15"/>
                <w:highlight w:val="none"/>
              </w:rPr>
              <w:t>离到达终</w:t>
            </w:r>
          </w:p>
          <w:p w14:paraId="47DDCA5D">
            <w:pPr>
              <w:pStyle w:val="9"/>
              <w:spacing w:before="158" w:line="233" w:lineRule="auto"/>
              <w:ind w:left="33"/>
              <w:rPr>
                <w:color w:val="auto"/>
                <w:sz w:val="15"/>
                <w:szCs w:val="15"/>
                <w:highlight w:val="none"/>
              </w:rPr>
            </w:pPr>
            <w:r>
              <w:rPr>
                <w:color w:val="auto"/>
                <w:spacing w:val="7"/>
                <w:sz w:val="15"/>
                <w:szCs w:val="15"/>
                <w:highlight w:val="none"/>
              </w:rPr>
              <w:t>点线，记录时间。</w:t>
            </w:r>
          </w:p>
          <w:p w14:paraId="09E4056A">
            <w:pPr>
              <w:pStyle w:val="9"/>
              <w:spacing w:before="124" w:line="232" w:lineRule="auto"/>
              <w:ind w:left="29"/>
              <w:rPr>
                <w:color w:val="auto"/>
                <w:sz w:val="15"/>
                <w:szCs w:val="15"/>
                <w:highlight w:val="none"/>
              </w:rPr>
            </w:pPr>
            <w:r>
              <w:rPr>
                <w:color w:val="auto"/>
                <w:spacing w:val="7"/>
                <w:sz w:val="15"/>
                <w:szCs w:val="15"/>
                <w:highlight w:val="none"/>
              </w:rPr>
              <w:t>3.考核以完成时间计算成绩。</w:t>
            </w:r>
          </w:p>
          <w:p w14:paraId="2A5D78AF">
            <w:pPr>
              <w:pStyle w:val="9"/>
              <w:spacing w:before="1" w:line="232" w:lineRule="auto"/>
              <w:ind w:left="27" w:leftChars="0"/>
              <w:rPr>
                <w:color w:val="auto"/>
                <w:sz w:val="15"/>
                <w:szCs w:val="15"/>
                <w:highlight w:val="none"/>
              </w:rPr>
            </w:pPr>
          </w:p>
        </w:tc>
        <w:tc>
          <w:tcPr>
            <w:tcW w:w="449" w:type="dxa"/>
            <w:vMerge w:val="continue"/>
            <w:vAlign w:val="top"/>
          </w:tcPr>
          <w:p w14:paraId="648B13AB">
            <w:pPr>
              <w:rPr>
                <w:rFonts w:ascii="Arial"/>
                <w:color w:val="auto"/>
                <w:sz w:val="21"/>
                <w:highlight w:val="none"/>
              </w:rPr>
            </w:pPr>
          </w:p>
        </w:tc>
      </w:tr>
      <w:tr w14:paraId="6FB776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944" w:type="dxa"/>
            <w:vMerge w:val="restart"/>
            <w:tcBorders>
              <w:bottom w:val="nil"/>
            </w:tcBorders>
            <w:vAlign w:val="top"/>
          </w:tcPr>
          <w:p w14:paraId="0ECE10E9">
            <w:pPr>
              <w:spacing w:line="242" w:lineRule="auto"/>
              <w:rPr>
                <w:rFonts w:ascii="Arial"/>
                <w:color w:val="auto"/>
                <w:sz w:val="21"/>
                <w:highlight w:val="none"/>
              </w:rPr>
            </w:pPr>
          </w:p>
          <w:p w14:paraId="55C9DB0C">
            <w:pPr>
              <w:spacing w:line="242" w:lineRule="auto"/>
              <w:rPr>
                <w:rFonts w:ascii="Arial"/>
                <w:color w:val="auto"/>
                <w:sz w:val="21"/>
                <w:highlight w:val="none"/>
              </w:rPr>
            </w:pPr>
          </w:p>
          <w:p w14:paraId="01204542">
            <w:pPr>
              <w:spacing w:line="243" w:lineRule="auto"/>
              <w:jc w:val="center"/>
              <w:rPr>
                <w:rFonts w:ascii="Arial"/>
                <w:color w:val="auto"/>
                <w:sz w:val="21"/>
                <w:highlight w:val="none"/>
              </w:rPr>
            </w:pPr>
          </w:p>
          <w:p w14:paraId="49C8BF86">
            <w:pPr>
              <w:pStyle w:val="9"/>
              <w:spacing w:before="43" w:line="300" w:lineRule="exact"/>
              <w:ind w:left="63"/>
              <w:jc w:val="center"/>
              <w:rPr>
                <w:rFonts w:hint="eastAsia" w:eastAsia="宋体"/>
                <w:color w:val="auto"/>
                <w:highlight w:val="none"/>
                <w:lang w:val="en-US" w:eastAsia="zh-CN"/>
              </w:rPr>
            </w:pPr>
            <w:r>
              <w:rPr>
                <w:color w:val="auto"/>
                <w:spacing w:val="6"/>
                <w:position w:val="12"/>
                <w:highlight w:val="none"/>
              </w:rPr>
              <w:t>立定跳</w:t>
            </w:r>
            <w:r>
              <w:rPr>
                <w:rFonts w:hint="eastAsia"/>
                <w:color w:val="auto"/>
                <w:spacing w:val="6"/>
                <w:position w:val="12"/>
                <w:highlight w:val="none"/>
                <w:lang w:val="en-US" w:eastAsia="zh-CN"/>
              </w:rPr>
              <w:t>远</w:t>
            </w:r>
          </w:p>
          <w:p w14:paraId="01B432AB">
            <w:pPr>
              <w:pStyle w:val="9"/>
              <w:spacing w:before="119" w:line="232" w:lineRule="auto"/>
              <w:ind w:left="159" w:leftChars="0"/>
              <w:jc w:val="center"/>
              <w:rPr>
                <w:rFonts w:hint="default" w:eastAsia="宋体"/>
                <w:color w:val="auto"/>
                <w:highlight w:val="none"/>
                <w:lang w:val="en-US" w:eastAsia="zh-CN"/>
              </w:rPr>
            </w:pPr>
            <w:r>
              <w:rPr>
                <w:color w:val="auto"/>
                <w:spacing w:val="3"/>
                <w:highlight w:val="none"/>
              </w:rPr>
              <w:t>(米)</w:t>
            </w:r>
          </w:p>
        </w:tc>
        <w:tc>
          <w:tcPr>
            <w:tcW w:w="646" w:type="dxa"/>
            <w:vAlign w:val="top"/>
          </w:tcPr>
          <w:p w14:paraId="7157FF3C">
            <w:pPr>
              <w:pStyle w:val="9"/>
              <w:spacing w:before="183" w:line="193" w:lineRule="auto"/>
              <w:ind w:left="116" w:leftChars="0"/>
              <w:jc w:val="center"/>
              <w:rPr>
                <w:color w:val="auto"/>
                <w:highlight w:val="none"/>
              </w:rPr>
            </w:pPr>
            <w:r>
              <w:rPr>
                <w:color w:val="auto"/>
                <w:spacing w:val="1"/>
                <w:highlight w:val="none"/>
              </w:rPr>
              <w:t>2.01</w:t>
            </w:r>
          </w:p>
        </w:tc>
        <w:tc>
          <w:tcPr>
            <w:tcW w:w="656" w:type="dxa"/>
            <w:vAlign w:val="top"/>
          </w:tcPr>
          <w:p w14:paraId="4BA2A534">
            <w:pPr>
              <w:pStyle w:val="9"/>
              <w:spacing w:before="183" w:line="193" w:lineRule="auto"/>
              <w:ind w:left="127" w:leftChars="0"/>
              <w:jc w:val="center"/>
              <w:rPr>
                <w:color w:val="auto"/>
                <w:highlight w:val="none"/>
              </w:rPr>
            </w:pPr>
            <w:r>
              <w:rPr>
                <w:color w:val="auto"/>
                <w:spacing w:val="1"/>
                <w:highlight w:val="none"/>
              </w:rPr>
              <w:t>2.13</w:t>
            </w:r>
          </w:p>
        </w:tc>
        <w:tc>
          <w:tcPr>
            <w:tcW w:w="715" w:type="dxa"/>
            <w:vAlign w:val="top"/>
          </w:tcPr>
          <w:p w14:paraId="5962114B">
            <w:pPr>
              <w:pStyle w:val="9"/>
              <w:spacing w:before="183" w:line="193" w:lineRule="auto"/>
              <w:ind w:left="160" w:leftChars="0"/>
              <w:jc w:val="center"/>
              <w:rPr>
                <w:color w:val="auto"/>
                <w:highlight w:val="none"/>
              </w:rPr>
            </w:pPr>
            <w:r>
              <w:rPr>
                <w:color w:val="auto"/>
                <w:spacing w:val="1"/>
                <w:highlight w:val="none"/>
              </w:rPr>
              <w:t>2.1</w:t>
            </w:r>
            <w:r>
              <w:rPr>
                <w:rFonts w:hint="eastAsia"/>
                <w:color w:val="auto"/>
                <w:spacing w:val="1"/>
                <w:highlight w:val="none"/>
                <w:lang w:val="en-US" w:eastAsia="zh-CN"/>
              </w:rPr>
              <w:t>8</w:t>
            </w:r>
          </w:p>
        </w:tc>
        <w:tc>
          <w:tcPr>
            <w:tcW w:w="716" w:type="dxa"/>
            <w:vAlign w:val="top"/>
          </w:tcPr>
          <w:p w14:paraId="03D5CE18">
            <w:pPr>
              <w:pStyle w:val="9"/>
              <w:spacing w:before="183" w:line="193" w:lineRule="auto"/>
              <w:ind w:left="160" w:leftChars="0"/>
              <w:jc w:val="center"/>
              <w:rPr>
                <w:color w:val="auto"/>
                <w:highlight w:val="none"/>
              </w:rPr>
            </w:pPr>
            <w:r>
              <w:rPr>
                <w:color w:val="auto"/>
                <w:spacing w:val="1"/>
                <w:highlight w:val="none"/>
              </w:rPr>
              <w:t>2.2</w:t>
            </w:r>
            <w:r>
              <w:rPr>
                <w:rFonts w:hint="eastAsia"/>
                <w:color w:val="auto"/>
                <w:spacing w:val="1"/>
                <w:highlight w:val="none"/>
                <w:lang w:val="en-US" w:eastAsia="zh-CN"/>
              </w:rPr>
              <w:t>3</w:t>
            </w:r>
          </w:p>
        </w:tc>
        <w:tc>
          <w:tcPr>
            <w:tcW w:w="727" w:type="dxa"/>
            <w:vAlign w:val="top"/>
          </w:tcPr>
          <w:p w14:paraId="1FFD824F">
            <w:pPr>
              <w:pStyle w:val="9"/>
              <w:spacing w:before="184" w:line="192" w:lineRule="auto"/>
              <w:ind w:left="162" w:leftChars="0"/>
              <w:jc w:val="center"/>
              <w:rPr>
                <w:color w:val="auto"/>
                <w:highlight w:val="none"/>
              </w:rPr>
            </w:pPr>
            <w:r>
              <w:rPr>
                <w:color w:val="auto"/>
                <w:spacing w:val="1"/>
                <w:highlight w:val="none"/>
              </w:rPr>
              <w:t>2.2</w:t>
            </w:r>
            <w:r>
              <w:rPr>
                <w:rFonts w:hint="eastAsia"/>
                <w:color w:val="auto"/>
                <w:spacing w:val="1"/>
                <w:highlight w:val="none"/>
                <w:lang w:val="en-US" w:eastAsia="zh-CN"/>
              </w:rPr>
              <w:t>8</w:t>
            </w:r>
          </w:p>
        </w:tc>
        <w:tc>
          <w:tcPr>
            <w:tcW w:w="645" w:type="dxa"/>
            <w:vAlign w:val="top"/>
          </w:tcPr>
          <w:p w14:paraId="0CABA0D9">
            <w:pPr>
              <w:pStyle w:val="9"/>
              <w:spacing w:before="184" w:line="192" w:lineRule="auto"/>
              <w:ind w:left="133" w:leftChars="0"/>
              <w:jc w:val="center"/>
              <w:rPr>
                <w:color w:val="auto"/>
                <w:highlight w:val="none"/>
              </w:rPr>
            </w:pPr>
            <w:r>
              <w:rPr>
                <w:color w:val="auto"/>
                <w:spacing w:val="1"/>
                <w:highlight w:val="none"/>
              </w:rPr>
              <w:t>2.</w:t>
            </w:r>
            <w:r>
              <w:rPr>
                <w:rFonts w:hint="eastAsia"/>
                <w:color w:val="auto"/>
                <w:spacing w:val="1"/>
                <w:highlight w:val="none"/>
                <w:lang w:val="en-US" w:eastAsia="zh-CN"/>
              </w:rPr>
              <w:t>33</w:t>
            </w:r>
          </w:p>
        </w:tc>
        <w:tc>
          <w:tcPr>
            <w:tcW w:w="727" w:type="dxa"/>
            <w:vAlign w:val="top"/>
          </w:tcPr>
          <w:p w14:paraId="1D0D37FF">
            <w:pPr>
              <w:pStyle w:val="9"/>
              <w:spacing w:before="184" w:line="192" w:lineRule="auto"/>
              <w:ind w:left="165" w:leftChars="0"/>
              <w:jc w:val="center"/>
              <w:rPr>
                <w:color w:val="auto"/>
                <w:highlight w:val="none"/>
              </w:rPr>
            </w:pPr>
            <w:r>
              <w:rPr>
                <w:color w:val="auto"/>
                <w:spacing w:val="1"/>
                <w:highlight w:val="none"/>
              </w:rPr>
              <w:t>2.3</w:t>
            </w:r>
            <w:r>
              <w:rPr>
                <w:rFonts w:hint="eastAsia"/>
                <w:color w:val="auto"/>
                <w:spacing w:val="1"/>
                <w:highlight w:val="none"/>
                <w:lang w:val="en-US" w:eastAsia="zh-CN"/>
              </w:rPr>
              <w:t>8</w:t>
            </w:r>
          </w:p>
        </w:tc>
        <w:tc>
          <w:tcPr>
            <w:tcW w:w="704" w:type="dxa"/>
            <w:vAlign w:val="top"/>
          </w:tcPr>
          <w:p w14:paraId="302720E2">
            <w:pPr>
              <w:pStyle w:val="9"/>
              <w:spacing w:before="184" w:line="192" w:lineRule="auto"/>
              <w:ind w:left="156" w:leftChars="0"/>
              <w:jc w:val="center"/>
              <w:rPr>
                <w:color w:val="auto"/>
                <w:highlight w:val="none"/>
              </w:rPr>
            </w:pPr>
            <w:r>
              <w:rPr>
                <w:color w:val="auto"/>
                <w:spacing w:val="1"/>
                <w:highlight w:val="none"/>
              </w:rPr>
              <w:t>2.</w:t>
            </w:r>
            <w:r>
              <w:rPr>
                <w:rFonts w:hint="eastAsia"/>
                <w:color w:val="auto"/>
                <w:spacing w:val="1"/>
                <w:highlight w:val="none"/>
                <w:lang w:val="en-US" w:eastAsia="zh-CN"/>
              </w:rPr>
              <w:t>43</w:t>
            </w:r>
          </w:p>
        </w:tc>
        <w:tc>
          <w:tcPr>
            <w:tcW w:w="727" w:type="dxa"/>
            <w:vAlign w:val="top"/>
          </w:tcPr>
          <w:p w14:paraId="73A5C7D5">
            <w:pPr>
              <w:pStyle w:val="9"/>
              <w:spacing w:before="183" w:line="193" w:lineRule="auto"/>
              <w:ind w:left="167" w:leftChars="0"/>
              <w:jc w:val="center"/>
              <w:rPr>
                <w:color w:val="auto"/>
                <w:highlight w:val="none"/>
              </w:rPr>
            </w:pPr>
            <w:r>
              <w:rPr>
                <w:color w:val="auto"/>
                <w:spacing w:val="1"/>
                <w:highlight w:val="none"/>
              </w:rPr>
              <w:t>2.4</w:t>
            </w:r>
            <w:r>
              <w:rPr>
                <w:rFonts w:hint="eastAsia"/>
                <w:color w:val="auto"/>
                <w:spacing w:val="1"/>
                <w:highlight w:val="none"/>
                <w:lang w:val="en-US" w:eastAsia="zh-CN"/>
              </w:rPr>
              <w:t>8</w:t>
            </w:r>
          </w:p>
        </w:tc>
        <w:tc>
          <w:tcPr>
            <w:tcW w:w="882" w:type="dxa"/>
            <w:vAlign w:val="top"/>
          </w:tcPr>
          <w:p w14:paraId="3CB956D1">
            <w:pPr>
              <w:pStyle w:val="9"/>
              <w:spacing w:before="184" w:line="192" w:lineRule="auto"/>
              <w:ind w:left="160" w:leftChars="0"/>
              <w:jc w:val="center"/>
              <w:rPr>
                <w:color w:val="auto"/>
                <w:highlight w:val="none"/>
              </w:rPr>
            </w:pPr>
            <w:r>
              <w:rPr>
                <w:color w:val="auto"/>
                <w:spacing w:val="1"/>
                <w:highlight w:val="none"/>
              </w:rPr>
              <w:t>2.</w:t>
            </w:r>
            <w:r>
              <w:rPr>
                <w:rFonts w:hint="eastAsia"/>
                <w:color w:val="auto"/>
                <w:spacing w:val="1"/>
                <w:highlight w:val="none"/>
                <w:lang w:val="en-US" w:eastAsia="zh-CN"/>
              </w:rPr>
              <w:t>53</w:t>
            </w:r>
          </w:p>
        </w:tc>
        <w:tc>
          <w:tcPr>
            <w:tcW w:w="449" w:type="dxa"/>
            <w:vMerge w:val="continue"/>
            <w:vAlign w:val="top"/>
          </w:tcPr>
          <w:p w14:paraId="291D111C">
            <w:pPr>
              <w:rPr>
                <w:rFonts w:ascii="Arial"/>
                <w:color w:val="auto"/>
                <w:sz w:val="21"/>
                <w:highlight w:val="none"/>
              </w:rPr>
            </w:pPr>
          </w:p>
        </w:tc>
      </w:tr>
      <w:tr w14:paraId="661FE7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12" w:hRule="atLeast"/>
        </w:trPr>
        <w:tc>
          <w:tcPr>
            <w:tcW w:w="944" w:type="dxa"/>
            <w:vMerge w:val="continue"/>
            <w:tcBorders>
              <w:top w:val="nil"/>
            </w:tcBorders>
            <w:vAlign w:val="top"/>
          </w:tcPr>
          <w:p w14:paraId="02E89376">
            <w:pPr>
              <w:rPr>
                <w:rFonts w:ascii="Arial"/>
                <w:color w:val="auto"/>
                <w:sz w:val="21"/>
                <w:highlight w:val="none"/>
              </w:rPr>
            </w:pPr>
          </w:p>
        </w:tc>
        <w:tc>
          <w:tcPr>
            <w:tcW w:w="7145" w:type="dxa"/>
            <w:gridSpan w:val="10"/>
            <w:vAlign w:val="top"/>
          </w:tcPr>
          <w:p w14:paraId="57631EBF">
            <w:pPr>
              <w:pStyle w:val="9"/>
              <w:spacing w:before="186" w:line="232" w:lineRule="auto"/>
              <w:rPr>
                <w:color w:val="auto"/>
                <w:spacing w:val="5"/>
                <w:sz w:val="15"/>
                <w:szCs w:val="15"/>
                <w:highlight w:val="none"/>
              </w:rPr>
            </w:pPr>
          </w:p>
          <w:p w14:paraId="7FA669F7">
            <w:pPr>
              <w:pStyle w:val="9"/>
              <w:spacing w:before="186" w:line="232" w:lineRule="auto"/>
              <w:ind w:left="36"/>
              <w:rPr>
                <w:color w:val="auto"/>
                <w:sz w:val="15"/>
                <w:szCs w:val="15"/>
                <w:highlight w:val="none"/>
              </w:rPr>
            </w:pPr>
            <w:r>
              <w:rPr>
                <w:color w:val="auto"/>
                <w:spacing w:val="5"/>
                <w:sz w:val="15"/>
                <w:szCs w:val="15"/>
                <w:highlight w:val="none"/>
              </w:rPr>
              <w:t>1.单个或分组考核。</w:t>
            </w:r>
          </w:p>
          <w:p w14:paraId="70B69B82">
            <w:pPr>
              <w:pStyle w:val="9"/>
              <w:spacing w:before="148" w:line="231" w:lineRule="auto"/>
              <w:ind w:left="27"/>
              <w:rPr>
                <w:color w:val="auto"/>
                <w:sz w:val="15"/>
                <w:szCs w:val="15"/>
                <w:highlight w:val="none"/>
              </w:rPr>
            </w:pPr>
            <w:r>
              <w:rPr>
                <w:color w:val="auto"/>
                <w:spacing w:val="11"/>
                <w:sz w:val="15"/>
                <w:szCs w:val="15"/>
                <w:highlight w:val="none"/>
              </w:rPr>
              <w:t>2.在跑道或平地上标出起跳线，考生站立在起跳线后，脚尖不得踩线，脚尖不得离开地面，两 脚原地同时起跳</w:t>
            </w:r>
            <w:r>
              <w:rPr>
                <w:rFonts w:hint="eastAsia"/>
                <w:color w:val="auto"/>
                <w:spacing w:val="11"/>
                <w:sz w:val="15"/>
                <w:szCs w:val="15"/>
                <w:highlight w:val="none"/>
              </w:rPr>
              <w:t>不得有助跑、垫步或连跳动作，测量起跳线后沿至身体任何着地最近点后沿</w:t>
            </w:r>
            <w:r>
              <w:rPr>
                <w:color w:val="auto"/>
                <w:spacing w:val="8"/>
                <w:sz w:val="15"/>
                <w:szCs w:val="15"/>
                <w:highlight w:val="none"/>
              </w:rPr>
              <w:t>的垂直距离。两次测试，记录成绩较好的1次。</w:t>
            </w:r>
          </w:p>
          <w:p w14:paraId="3D20DD84">
            <w:pPr>
              <w:pStyle w:val="9"/>
              <w:spacing w:before="143" w:line="232" w:lineRule="auto"/>
              <w:ind w:left="29"/>
              <w:rPr>
                <w:color w:val="auto"/>
                <w:sz w:val="15"/>
                <w:szCs w:val="15"/>
                <w:highlight w:val="none"/>
              </w:rPr>
            </w:pPr>
            <w:r>
              <w:rPr>
                <w:color w:val="auto"/>
                <w:spacing w:val="7"/>
                <w:sz w:val="15"/>
                <w:szCs w:val="15"/>
                <w:highlight w:val="none"/>
              </w:rPr>
              <w:t>3.考核以完成跳出长度计算成绩。</w:t>
            </w:r>
          </w:p>
          <w:p w14:paraId="42FF5442">
            <w:pPr>
              <w:pStyle w:val="9"/>
              <w:spacing w:before="103" w:line="232" w:lineRule="auto"/>
              <w:ind w:left="25" w:leftChars="0"/>
              <w:rPr>
                <w:color w:val="auto"/>
                <w:highlight w:val="none"/>
              </w:rPr>
            </w:pPr>
          </w:p>
        </w:tc>
        <w:tc>
          <w:tcPr>
            <w:tcW w:w="449" w:type="dxa"/>
            <w:vMerge w:val="continue"/>
            <w:vAlign w:val="top"/>
          </w:tcPr>
          <w:p w14:paraId="5821F7C7">
            <w:pPr>
              <w:rPr>
                <w:rFonts w:ascii="Arial"/>
                <w:color w:val="auto"/>
                <w:sz w:val="21"/>
                <w:highlight w:val="none"/>
              </w:rPr>
            </w:pPr>
          </w:p>
        </w:tc>
      </w:tr>
      <w:tr w14:paraId="161A87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4" w:hRule="atLeast"/>
        </w:trPr>
        <w:tc>
          <w:tcPr>
            <w:tcW w:w="944" w:type="dxa"/>
            <w:vMerge w:val="restart"/>
            <w:tcBorders>
              <w:bottom w:val="nil"/>
            </w:tcBorders>
            <w:vAlign w:val="top"/>
          </w:tcPr>
          <w:p w14:paraId="4E079642">
            <w:pPr>
              <w:spacing w:line="287" w:lineRule="auto"/>
              <w:rPr>
                <w:rFonts w:ascii="Arial"/>
                <w:color w:val="auto"/>
                <w:sz w:val="21"/>
                <w:highlight w:val="none"/>
              </w:rPr>
            </w:pPr>
          </w:p>
          <w:p w14:paraId="3F6CEA70">
            <w:pPr>
              <w:spacing w:line="288" w:lineRule="auto"/>
              <w:rPr>
                <w:rFonts w:ascii="Arial"/>
                <w:color w:val="auto"/>
                <w:sz w:val="21"/>
                <w:highlight w:val="none"/>
              </w:rPr>
            </w:pPr>
          </w:p>
          <w:p w14:paraId="27DB3EB9">
            <w:pPr>
              <w:pStyle w:val="9"/>
              <w:spacing w:before="45" w:line="312" w:lineRule="exact"/>
              <w:ind w:right="1"/>
              <w:jc w:val="center"/>
              <w:rPr>
                <w:color w:val="auto"/>
                <w:sz w:val="14"/>
                <w:szCs w:val="14"/>
                <w:highlight w:val="none"/>
              </w:rPr>
            </w:pPr>
            <w:r>
              <w:rPr>
                <w:color w:val="auto"/>
                <w:position w:val="12"/>
                <w:sz w:val="14"/>
                <w:szCs w:val="14"/>
                <w:highlight w:val="none"/>
              </w:rPr>
              <w:t>单</w:t>
            </w:r>
            <w:r>
              <w:rPr>
                <w:color w:val="auto"/>
                <w:spacing w:val="-27"/>
                <w:position w:val="12"/>
                <w:sz w:val="14"/>
                <w:szCs w:val="14"/>
                <w:highlight w:val="none"/>
              </w:rPr>
              <w:t xml:space="preserve"> </w:t>
            </w:r>
            <w:r>
              <w:rPr>
                <w:color w:val="auto"/>
                <w:position w:val="12"/>
                <w:sz w:val="14"/>
                <w:szCs w:val="14"/>
                <w:highlight w:val="none"/>
              </w:rPr>
              <w:t>杠</w:t>
            </w:r>
            <w:r>
              <w:rPr>
                <w:color w:val="auto"/>
                <w:spacing w:val="-15"/>
                <w:position w:val="12"/>
                <w:sz w:val="14"/>
                <w:szCs w:val="14"/>
                <w:highlight w:val="none"/>
              </w:rPr>
              <w:t xml:space="preserve"> </w:t>
            </w:r>
            <w:r>
              <w:rPr>
                <w:color w:val="auto"/>
                <w:position w:val="12"/>
                <w:sz w:val="14"/>
                <w:szCs w:val="14"/>
                <w:highlight w:val="none"/>
              </w:rPr>
              <w:t>引</w:t>
            </w:r>
            <w:r>
              <w:rPr>
                <w:color w:val="auto"/>
                <w:spacing w:val="-24"/>
                <w:position w:val="12"/>
                <w:sz w:val="14"/>
                <w:szCs w:val="14"/>
                <w:highlight w:val="none"/>
              </w:rPr>
              <w:t xml:space="preserve"> </w:t>
            </w:r>
            <w:r>
              <w:rPr>
                <w:color w:val="auto"/>
                <w:position w:val="12"/>
                <w:sz w:val="14"/>
                <w:szCs w:val="14"/>
                <w:highlight w:val="none"/>
              </w:rPr>
              <w:t>体</w:t>
            </w:r>
          </w:p>
          <w:p w14:paraId="46BD657D">
            <w:pPr>
              <w:pStyle w:val="9"/>
              <w:spacing w:line="231" w:lineRule="auto"/>
              <w:ind w:left="60"/>
              <w:jc w:val="center"/>
              <w:rPr>
                <w:color w:val="auto"/>
                <w:spacing w:val="2"/>
                <w:sz w:val="14"/>
                <w:szCs w:val="14"/>
                <w:highlight w:val="none"/>
              </w:rPr>
            </w:pPr>
            <w:r>
              <w:rPr>
                <w:color w:val="auto"/>
                <w:spacing w:val="2"/>
                <w:sz w:val="14"/>
                <w:szCs w:val="14"/>
                <w:highlight w:val="none"/>
              </w:rPr>
              <w:t>向上</w:t>
            </w:r>
          </w:p>
          <w:p w14:paraId="7F6F2BE3">
            <w:pPr>
              <w:pStyle w:val="9"/>
              <w:spacing w:line="231" w:lineRule="auto"/>
              <w:ind w:left="60"/>
              <w:jc w:val="center"/>
              <w:rPr>
                <w:color w:val="auto"/>
                <w:highlight w:val="none"/>
              </w:rPr>
            </w:pPr>
            <w:r>
              <w:rPr>
                <w:color w:val="auto"/>
                <w:spacing w:val="2"/>
                <w:sz w:val="14"/>
                <w:szCs w:val="14"/>
                <w:highlight w:val="none"/>
              </w:rPr>
              <w:t>(次</w:t>
            </w:r>
            <w:r>
              <w:rPr>
                <w:color w:val="auto"/>
                <w:spacing w:val="8"/>
                <w:sz w:val="14"/>
                <w:szCs w:val="14"/>
                <w:highlight w:val="none"/>
              </w:rPr>
              <w:t>/3分钟)</w:t>
            </w:r>
          </w:p>
        </w:tc>
        <w:tc>
          <w:tcPr>
            <w:tcW w:w="646" w:type="dxa"/>
            <w:vAlign w:val="top"/>
          </w:tcPr>
          <w:p w14:paraId="6707AD90">
            <w:pPr>
              <w:spacing w:before="216" w:line="104" w:lineRule="exact"/>
              <w:ind w:left="312" w:leftChars="0"/>
              <w:rPr>
                <w:color w:val="auto"/>
                <w:highlight w:val="none"/>
              </w:rPr>
            </w:pPr>
            <w:r>
              <w:rPr>
                <w:rFonts w:ascii="Arial" w:hAnsi="Arial" w:eastAsia="Arial" w:cs="Arial"/>
                <w:color w:val="auto"/>
                <w:position w:val="-2"/>
                <w:sz w:val="20"/>
                <w:szCs w:val="20"/>
                <w:highlight w:val="none"/>
              </w:rPr>
              <w:t>-</w:t>
            </w:r>
          </w:p>
        </w:tc>
        <w:tc>
          <w:tcPr>
            <w:tcW w:w="656" w:type="dxa"/>
            <w:vAlign w:val="top"/>
          </w:tcPr>
          <w:p w14:paraId="6E7BE221">
            <w:pPr>
              <w:tabs>
                <w:tab w:val="left" w:pos="385"/>
              </w:tabs>
              <w:spacing w:before="88" w:line="241" w:lineRule="exact"/>
              <w:ind w:left="315" w:leftChars="0"/>
              <w:rPr>
                <w:color w:val="auto"/>
                <w:sz w:val="13"/>
                <w:szCs w:val="13"/>
                <w:highlight w:val="none"/>
              </w:rPr>
            </w:pPr>
            <w:r>
              <w:rPr>
                <w:rFonts w:hint="eastAsia" w:ascii="宋体" w:hAnsi="宋体" w:eastAsia="宋体" w:cs="宋体"/>
                <w:color w:val="auto"/>
                <w:sz w:val="13"/>
                <w:szCs w:val="13"/>
                <w:highlight w:val="none"/>
              </w:rPr>
              <w:t>1</w:t>
            </w:r>
          </w:p>
        </w:tc>
        <w:tc>
          <w:tcPr>
            <w:tcW w:w="715" w:type="dxa"/>
            <w:vAlign w:val="top"/>
          </w:tcPr>
          <w:p w14:paraId="15336868">
            <w:pPr>
              <w:tabs>
                <w:tab w:val="left" w:pos="385"/>
              </w:tabs>
              <w:spacing w:before="88" w:line="241" w:lineRule="exact"/>
              <w:ind w:left="315" w:leftChars="0"/>
              <w:rPr>
                <w:rFonts w:hint="eastAsia" w:ascii="宋体" w:hAnsi="宋体" w:eastAsia="宋体" w:cs="宋体"/>
                <w:color w:val="auto"/>
                <w:sz w:val="13"/>
                <w:szCs w:val="13"/>
                <w:highlight w:val="none"/>
              </w:rPr>
            </w:pPr>
            <w:r>
              <w:rPr>
                <w:rFonts w:hint="eastAsia" w:ascii="宋体" w:hAnsi="宋体" w:eastAsia="宋体" w:cs="宋体"/>
                <w:color w:val="auto"/>
                <w:sz w:val="13"/>
                <w:szCs w:val="13"/>
                <w:highlight w:val="none"/>
                <w:lang w:val="en-US" w:eastAsia="zh-CN"/>
              </w:rPr>
              <w:t>2</w:t>
            </w:r>
          </w:p>
        </w:tc>
        <w:tc>
          <w:tcPr>
            <w:tcW w:w="716" w:type="dxa"/>
            <w:vAlign w:val="top"/>
          </w:tcPr>
          <w:p w14:paraId="78318E7F">
            <w:pPr>
              <w:tabs>
                <w:tab w:val="left" w:pos="385"/>
              </w:tabs>
              <w:spacing w:before="88" w:line="241" w:lineRule="exact"/>
              <w:ind w:left="315" w:leftChars="0"/>
              <w:rPr>
                <w:rFonts w:hint="eastAsia" w:ascii="宋体" w:hAnsi="宋体" w:eastAsia="宋体" w:cs="宋体"/>
                <w:color w:val="auto"/>
                <w:sz w:val="13"/>
                <w:szCs w:val="13"/>
                <w:highlight w:val="none"/>
              </w:rPr>
            </w:pPr>
            <w:r>
              <w:rPr>
                <w:rFonts w:hint="eastAsia" w:ascii="宋体" w:hAnsi="宋体" w:eastAsia="宋体" w:cs="宋体"/>
                <w:color w:val="auto"/>
                <w:sz w:val="13"/>
                <w:szCs w:val="13"/>
                <w:highlight w:val="none"/>
                <w:lang w:val="en-US" w:eastAsia="zh-CN"/>
              </w:rPr>
              <w:t>3</w:t>
            </w:r>
          </w:p>
        </w:tc>
        <w:tc>
          <w:tcPr>
            <w:tcW w:w="727" w:type="dxa"/>
            <w:vAlign w:val="top"/>
          </w:tcPr>
          <w:p w14:paraId="5FCBC97F">
            <w:pPr>
              <w:tabs>
                <w:tab w:val="left" w:pos="385"/>
              </w:tabs>
              <w:spacing w:before="88" w:line="241" w:lineRule="exact"/>
              <w:ind w:left="315" w:leftChars="0"/>
              <w:rPr>
                <w:rFonts w:hint="eastAsia" w:ascii="宋体" w:hAnsi="宋体" w:eastAsia="宋体" w:cs="宋体"/>
                <w:color w:val="auto"/>
                <w:sz w:val="13"/>
                <w:szCs w:val="13"/>
                <w:highlight w:val="none"/>
              </w:rPr>
            </w:pPr>
            <w:r>
              <w:rPr>
                <w:rFonts w:hint="eastAsia" w:ascii="宋体" w:hAnsi="宋体" w:eastAsia="宋体" w:cs="宋体"/>
                <w:color w:val="auto"/>
                <w:sz w:val="13"/>
                <w:szCs w:val="13"/>
                <w:highlight w:val="none"/>
                <w:lang w:val="en-US" w:eastAsia="zh-CN"/>
              </w:rPr>
              <w:t>4</w:t>
            </w:r>
          </w:p>
        </w:tc>
        <w:tc>
          <w:tcPr>
            <w:tcW w:w="645" w:type="dxa"/>
            <w:vAlign w:val="top"/>
          </w:tcPr>
          <w:p w14:paraId="1855D0F4">
            <w:pPr>
              <w:tabs>
                <w:tab w:val="left" w:pos="385"/>
              </w:tabs>
              <w:spacing w:before="88" w:line="241" w:lineRule="exact"/>
              <w:ind w:left="315" w:leftChars="0"/>
              <w:rPr>
                <w:rFonts w:hint="eastAsia" w:ascii="宋体" w:hAnsi="宋体" w:eastAsia="宋体" w:cs="宋体"/>
                <w:color w:val="auto"/>
                <w:sz w:val="13"/>
                <w:szCs w:val="13"/>
                <w:highlight w:val="none"/>
              </w:rPr>
            </w:pPr>
            <w:r>
              <w:rPr>
                <w:rFonts w:hint="eastAsia" w:ascii="宋体" w:hAnsi="宋体" w:eastAsia="宋体" w:cs="宋体"/>
                <w:color w:val="auto"/>
                <w:sz w:val="13"/>
                <w:szCs w:val="13"/>
                <w:highlight w:val="none"/>
                <w:lang w:val="en-US" w:eastAsia="zh-CN"/>
              </w:rPr>
              <w:t>5</w:t>
            </w:r>
          </w:p>
        </w:tc>
        <w:tc>
          <w:tcPr>
            <w:tcW w:w="727" w:type="dxa"/>
            <w:vAlign w:val="top"/>
          </w:tcPr>
          <w:p w14:paraId="41E1761F">
            <w:pPr>
              <w:tabs>
                <w:tab w:val="left" w:pos="385"/>
              </w:tabs>
              <w:spacing w:before="88" w:line="241" w:lineRule="exact"/>
              <w:ind w:left="315" w:leftChars="0"/>
              <w:rPr>
                <w:rFonts w:hint="eastAsia" w:ascii="宋体" w:hAnsi="宋体" w:eastAsia="宋体" w:cs="宋体"/>
                <w:color w:val="auto"/>
                <w:sz w:val="13"/>
                <w:szCs w:val="13"/>
                <w:highlight w:val="none"/>
              </w:rPr>
            </w:pPr>
            <w:r>
              <w:rPr>
                <w:rFonts w:hint="eastAsia" w:ascii="宋体" w:hAnsi="宋体" w:eastAsia="宋体" w:cs="宋体"/>
                <w:color w:val="auto"/>
                <w:sz w:val="13"/>
                <w:szCs w:val="13"/>
                <w:highlight w:val="none"/>
                <w:lang w:val="en-US" w:eastAsia="zh-CN"/>
              </w:rPr>
              <w:t>6</w:t>
            </w:r>
          </w:p>
        </w:tc>
        <w:tc>
          <w:tcPr>
            <w:tcW w:w="704" w:type="dxa"/>
            <w:vAlign w:val="top"/>
          </w:tcPr>
          <w:p w14:paraId="11688CC1">
            <w:pPr>
              <w:tabs>
                <w:tab w:val="left" w:pos="385"/>
              </w:tabs>
              <w:spacing w:before="88" w:line="241" w:lineRule="exact"/>
              <w:ind w:left="315" w:leftChars="0"/>
              <w:rPr>
                <w:rFonts w:hint="eastAsia" w:ascii="宋体" w:hAnsi="宋体" w:eastAsia="宋体" w:cs="宋体"/>
                <w:color w:val="auto"/>
                <w:sz w:val="13"/>
                <w:szCs w:val="13"/>
                <w:highlight w:val="none"/>
              </w:rPr>
            </w:pPr>
            <w:r>
              <w:rPr>
                <w:rFonts w:hint="eastAsia" w:ascii="宋体" w:hAnsi="宋体" w:eastAsia="宋体" w:cs="宋体"/>
                <w:color w:val="auto"/>
                <w:sz w:val="13"/>
                <w:szCs w:val="13"/>
                <w:highlight w:val="none"/>
                <w:lang w:val="en-US" w:eastAsia="zh-CN"/>
              </w:rPr>
              <w:t>7</w:t>
            </w:r>
          </w:p>
        </w:tc>
        <w:tc>
          <w:tcPr>
            <w:tcW w:w="727" w:type="dxa"/>
            <w:vAlign w:val="top"/>
          </w:tcPr>
          <w:p w14:paraId="3FF55AE7">
            <w:pPr>
              <w:tabs>
                <w:tab w:val="left" w:pos="385"/>
              </w:tabs>
              <w:spacing w:before="88" w:line="241" w:lineRule="exact"/>
              <w:ind w:left="315" w:leftChars="0"/>
              <w:rPr>
                <w:rFonts w:hint="eastAsia" w:ascii="宋体" w:hAnsi="宋体" w:eastAsia="宋体" w:cs="宋体"/>
                <w:color w:val="auto"/>
                <w:sz w:val="13"/>
                <w:szCs w:val="13"/>
                <w:highlight w:val="none"/>
              </w:rPr>
            </w:pPr>
            <w:r>
              <w:rPr>
                <w:rFonts w:hint="eastAsia" w:ascii="宋体" w:hAnsi="宋体" w:eastAsia="宋体" w:cs="宋体"/>
                <w:color w:val="auto"/>
                <w:sz w:val="13"/>
                <w:szCs w:val="13"/>
                <w:highlight w:val="none"/>
                <w:lang w:val="en-US" w:eastAsia="zh-CN"/>
              </w:rPr>
              <w:t>9</w:t>
            </w:r>
          </w:p>
        </w:tc>
        <w:tc>
          <w:tcPr>
            <w:tcW w:w="882" w:type="dxa"/>
            <w:vAlign w:val="top"/>
          </w:tcPr>
          <w:p w14:paraId="1DD8C093">
            <w:pPr>
              <w:tabs>
                <w:tab w:val="left" w:pos="385"/>
              </w:tabs>
              <w:spacing w:before="88" w:line="241" w:lineRule="exact"/>
              <w:ind w:left="315" w:leftChars="0"/>
              <w:rPr>
                <w:rFonts w:hint="eastAsia" w:ascii="宋体" w:hAnsi="宋体" w:eastAsia="宋体" w:cs="宋体"/>
                <w:color w:val="auto"/>
                <w:sz w:val="13"/>
                <w:szCs w:val="13"/>
                <w:highlight w:val="none"/>
              </w:rPr>
            </w:pPr>
            <w:r>
              <w:rPr>
                <w:rFonts w:hint="eastAsia" w:ascii="宋体" w:hAnsi="宋体" w:eastAsia="宋体" w:cs="宋体"/>
                <w:color w:val="auto"/>
                <w:sz w:val="13"/>
                <w:szCs w:val="13"/>
                <w:highlight w:val="none"/>
                <w:lang w:val="en-US" w:eastAsia="zh-CN"/>
              </w:rPr>
              <w:t>11</w:t>
            </w:r>
          </w:p>
        </w:tc>
        <w:tc>
          <w:tcPr>
            <w:tcW w:w="449" w:type="dxa"/>
            <w:vMerge w:val="continue"/>
            <w:vAlign w:val="top"/>
          </w:tcPr>
          <w:p w14:paraId="71A85943">
            <w:pPr>
              <w:pStyle w:val="9"/>
              <w:spacing w:line="232" w:lineRule="auto"/>
              <w:ind w:left="49"/>
              <w:rPr>
                <w:color w:val="auto"/>
                <w:highlight w:val="none"/>
              </w:rPr>
            </w:pPr>
          </w:p>
        </w:tc>
      </w:tr>
      <w:tr w14:paraId="782D89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45" w:hRule="atLeast"/>
        </w:trPr>
        <w:tc>
          <w:tcPr>
            <w:tcW w:w="944" w:type="dxa"/>
            <w:vMerge w:val="continue"/>
            <w:tcBorders>
              <w:top w:val="nil"/>
              <w:bottom w:val="single" w:color="auto" w:sz="4" w:space="0"/>
            </w:tcBorders>
            <w:vAlign w:val="top"/>
          </w:tcPr>
          <w:p w14:paraId="17C1A8F1">
            <w:pPr>
              <w:rPr>
                <w:rFonts w:ascii="Arial"/>
                <w:color w:val="auto"/>
                <w:sz w:val="21"/>
                <w:highlight w:val="none"/>
              </w:rPr>
            </w:pPr>
          </w:p>
        </w:tc>
        <w:tc>
          <w:tcPr>
            <w:tcW w:w="7145" w:type="dxa"/>
            <w:gridSpan w:val="10"/>
            <w:vAlign w:val="top"/>
          </w:tcPr>
          <w:p w14:paraId="7AB443AD">
            <w:pPr>
              <w:pStyle w:val="9"/>
              <w:spacing w:before="45" w:line="231" w:lineRule="auto"/>
              <w:ind w:left="49"/>
              <w:rPr>
                <w:color w:val="auto"/>
                <w:spacing w:val="5"/>
                <w:sz w:val="14"/>
                <w:szCs w:val="14"/>
                <w:highlight w:val="none"/>
              </w:rPr>
            </w:pPr>
          </w:p>
          <w:p w14:paraId="1BDB6D99">
            <w:pPr>
              <w:pStyle w:val="9"/>
              <w:spacing w:before="45" w:line="231" w:lineRule="auto"/>
              <w:rPr>
                <w:color w:val="auto"/>
                <w:spacing w:val="5"/>
                <w:sz w:val="14"/>
                <w:szCs w:val="14"/>
                <w:highlight w:val="none"/>
              </w:rPr>
            </w:pPr>
          </w:p>
          <w:p w14:paraId="122DD716">
            <w:pPr>
              <w:pStyle w:val="9"/>
              <w:spacing w:before="45" w:line="231" w:lineRule="auto"/>
              <w:ind w:left="49"/>
              <w:rPr>
                <w:color w:val="auto"/>
                <w:sz w:val="14"/>
                <w:szCs w:val="14"/>
                <w:highlight w:val="none"/>
              </w:rPr>
            </w:pPr>
            <w:r>
              <w:rPr>
                <w:color w:val="auto"/>
                <w:spacing w:val="5"/>
                <w:sz w:val="14"/>
                <w:szCs w:val="14"/>
                <w:highlight w:val="none"/>
              </w:rPr>
              <w:t>1.单个或分组考核。</w:t>
            </w:r>
          </w:p>
          <w:p w14:paraId="76E24BB8">
            <w:pPr>
              <w:pStyle w:val="9"/>
              <w:spacing w:before="158" w:line="266" w:lineRule="auto"/>
              <w:ind w:left="34" w:right="43" w:hanging="4"/>
              <w:rPr>
                <w:color w:val="auto"/>
                <w:sz w:val="14"/>
                <w:szCs w:val="14"/>
                <w:highlight w:val="none"/>
              </w:rPr>
            </w:pPr>
            <w:r>
              <w:rPr>
                <w:color w:val="auto"/>
                <w:spacing w:val="3"/>
                <w:sz w:val="14"/>
                <w:szCs w:val="14"/>
                <w:highlight w:val="none"/>
              </w:rPr>
              <w:t>2.按照规定动作要领完成动作。引体时下颌高于杠面、身体不得借助振浪或摆</w:t>
            </w:r>
            <w:r>
              <w:rPr>
                <w:color w:val="auto"/>
                <w:spacing w:val="2"/>
                <w:sz w:val="14"/>
                <w:szCs w:val="14"/>
                <w:highlight w:val="none"/>
              </w:rPr>
              <w:t>动、悬垂时双肘 关节伸直：脚触</w:t>
            </w:r>
            <w:r>
              <w:rPr>
                <w:color w:val="auto"/>
                <w:sz w:val="14"/>
                <w:szCs w:val="14"/>
                <w:highlight w:val="none"/>
              </w:rPr>
              <w:t xml:space="preserve"> </w:t>
            </w:r>
            <w:r>
              <w:rPr>
                <w:color w:val="auto"/>
                <w:spacing w:val="7"/>
                <w:sz w:val="14"/>
                <w:szCs w:val="14"/>
                <w:highlight w:val="none"/>
              </w:rPr>
              <w:t>及地面或立柱，结束考核。</w:t>
            </w:r>
          </w:p>
          <w:p w14:paraId="61156D33">
            <w:pPr>
              <w:pStyle w:val="9"/>
              <w:spacing w:before="160" w:line="231" w:lineRule="auto"/>
              <w:ind w:left="40"/>
              <w:rPr>
                <w:color w:val="auto"/>
                <w:sz w:val="14"/>
                <w:szCs w:val="14"/>
                <w:highlight w:val="none"/>
              </w:rPr>
            </w:pPr>
            <w:r>
              <w:rPr>
                <w:color w:val="auto"/>
                <w:spacing w:val="6"/>
                <w:sz w:val="14"/>
                <w:szCs w:val="14"/>
                <w:highlight w:val="none"/>
              </w:rPr>
              <w:t>3.考核以完成次数计算成绩。</w:t>
            </w:r>
          </w:p>
          <w:p w14:paraId="0C43464F">
            <w:pPr>
              <w:pStyle w:val="9"/>
              <w:spacing w:before="117" w:line="232" w:lineRule="auto"/>
              <w:ind w:left="25"/>
              <w:rPr>
                <w:color w:val="auto"/>
                <w:highlight w:val="none"/>
              </w:rPr>
            </w:pPr>
          </w:p>
        </w:tc>
        <w:tc>
          <w:tcPr>
            <w:tcW w:w="449" w:type="dxa"/>
            <w:vMerge w:val="continue"/>
            <w:vAlign w:val="top"/>
          </w:tcPr>
          <w:p w14:paraId="3B2D2199">
            <w:pPr>
              <w:rPr>
                <w:rFonts w:ascii="Arial"/>
                <w:color w:val="auto"/>
                <w:sz w:val="21"/>
                <w:highlight w:val="none"/>
              </w:rPr>
            </w:pPr>
          </w:p>
        </w:tc>
      </w:tr>
      <w:tr w14:paraId="70EB40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trPr>
        <w:tc>
          <w:tcPr>
            <w:tcW w:w="944" w:type="dxa"/>
            <w:vMerge w:val="restart"/>
            <w:tcBorders>
              <w:top w:val="single" w:color="auto" w:sz="4" w:space="0"/>
              <w:left w:val="single" w:color="auto" w:sz="4" w:space="0"/>
              <w:bottom w:val="single" w:color="auto" w:sz="4" w:space="0"/>
              <w:right w:val="single" w:color="auto" w:sz="4" w:space="0"/>
            </w:tcBorders>
            <w:vAlign w:val="top"/>
          </w:tcPr>
          <w:p w14:paraId="28F2648C">
            <w:pPr>
              <w:spacing w:line="265" w:lineRule="auto"/>
              <w:rPr>
                <w:rFonts w:ascii="Arial"/>
                <w:color w:val="auto"/>
                <w:sz w:val="21"/>
                <w:highlight w:val="none"/>
              </w:rPr>
            </w:pPr>
          </w:p>
          <w:p w14:paraId="03A6709E">
            <w:pPr>
              <w:spacing w:line="266" w:lineRule="auto"/>
              <w:rPr>
                <w:rFonts w:ascii="Arial"/>
                <w:color w:val="auto"/>
                <w:sz w:val="21"/>
                <w:highlight w:val="none"/>
              </w:rPr>
            </w:pPr>
          </w:p>
          <w:p w14:paraId="2D029E9D">
            <w:pPr>
              <w:spacing w:line="266" w:lineRule="auto"/>
              <w:rPr>
                <w:rFonts w:ascii="Arial"/>
                <w:color w:val="auto"/>
                <w:sz w:val="21"/>
                <w:highlight w:val="none"/>
              </w:rPr>
            </w:pPr>
          </w:p>
          <w:p w14:paraId="57EAC1E4">
            <w:pPr>
              <w:spacing w:line="266" w:lineRule="auto"/>
              <w:jc w:val="center"/>
              <w:rPr>
                <w:rFonts w:ascii="Arial"/>
                <w:color w:val="auto"/>
                <w:sz w:val="21"/>
                <w:highlight w:val="none"/>
              </w:rPr>
            </w:pPr>
          </w:p>
          <w:p w14:paraId="13FC641C">
            <w:pPr>
              <w:pStyle w:val="9"/>
              <w:spacing w:before="46" w:line="321" w:lineRule="exact"/>
              <w:ind w:left="56"/>
              <w:jc w:val="center"/>
              <w:rPr>
                <w:color w:val="auto"/>
                <w:sz w:val="14"/>
                <w:szCs w:val="14"/>
                <w:highlight w:val="none"/>
              </w:rPr>
            </w:pPr>
            <w:r>
              <w:rPr>
                <w:color w:val="auto"/>
                <w:spacing w:val="3"/>
                <w:position w:val="13"/>
                <w:sz w:val="14"/>
                <w:szCs w:val="14"/>
                <w:highlight w:val="none"/>
              </w:rPr>
              <w:t>100米跑</w:t>
            </w:r>
          </w:p>
          <w:p w14:paraId="4AF55943">
            <w:pPr>
              <w:pStyle w:val="9"/>
              <w:spacing w:line="231" w:lineRule="auto"/>
              <w:ind w:left="181" w:leftChars="0"/>
              <w:jc w:val="center"/>
              <w:rPr>
                <w:color w:val="auto"/>
                <w:highlight w:val="none"/>
              </w:rPr>
            </w:pPr>
            <w:r>
              <w:rPr>
                <w:color w:val="auto"/>
                <w:spacing w:val="2"/>
                <w:sz w:val="14"/>
                <w:szCs w:val="14"/>
                <w:highlight w:val="none"/>
              </w:rPr>
              <w:t>(秒)</w:t>
            </w:r>
          </w:p>
        </w:tc>
        <w:tc>
          <w:tcPr>
            <w:tcW w:w="646" w:type="dxa"/>
            <w:tcBorders>
              <w:left w:val="single" w:color="auto" w:sz="4" w:space="0"/>
            </w:tcBorders>
            <w:vAlign w:val="top"/>
          </w:tcPr>
          <w:p w14:paraId="4CD63990">
            <w:pPr>
              <w:pStyle w:val="9"/>
              <w:spacing w:before="213" w:line="213" w:lineRule="auto"/>
              <w:ind w:left="147" w:leftChars="0"/>
              <w:rPr>
                <w:color w:val="auto"/>
                <w:highlight w:val="none"/>
              </w:rPr>
            </w:pPr>
            <w:r>
              <w:rPr>
                <w:color w:val="auto"/>
                <w:spacing w:val="-2"/>
                <w:sz w:val="14"/>
                <w:szCs w:val="14"/>
                <w:highlight w:val="none"/>
              </w:rPr>
              <w:t>17"3</w:t>
            </w:r>
          </w:p>
        </w:tc>
        <w:tc>
          <w:tcPr>
            <w:tcW w:w="656" w:type="dxa"/>
            <w:vAlign w:val="top"/>
          </w:tcPr>
          <w:p w14:paraId="221CF4FF">
            <w:pPr>
              <w:pStyle w:val="9"/>
              <w:spacing w:before="213" w:line="213" w:lineRule="auto"/>
              <w:ind w:left="150" w:leftChars="0"/>
              <w:rPr>
                <w:color w:val="auto"/>
                <w:highlight w:val="none"/>
              </w:rPr>
            </w:pPr>
            <w:r>
              <w:rPr>
                <w:color w:val="auto"/>
                <w:spacing w:val="-2"/>
                <w:sz w:val="14"/>
                <w:szCs w:val="14"/>
                <w:highlight w:val="none"/>
              </w:rPr>
              <w:t>1</w:t>
            </w:r>
            <w:r>
              <w:rPr>
                <w:rFonts w:hint="eastAsia"/>
                <w:color w:val="auto"/>
                <w:spacing w:val="-2"/>
                <w:sz w:val="14"/>
                <w:szCs w:val="14"/>
                <w:highlight w:val="none"/>
                <w:lang w:val="en-US" w:eastAsia="zh-CN"/>
              </w:rPr>
              <w:t>5</w:t>
            </w:r>
            <w:r>
              <w:rPr>
                <w:color w:val="auto"/>
                <w:spacing w:val="-2"/>
                <w:sz w:val="14"/>
                <w:szCs w:val="14"/>
                <w:highlight w:val="none"/>
              </w:rPr>
              <w:t>"</w:t>
            </w:r>
            <w:r>
              <w:rPr>
                <w:rFonts w:hint="eastAsia"/>
                <w:color w:val="auto"/>
                <w:spacing w:val="-2"/>
                <w:sz w:val="14"/>
                <w:szCs w:val="14"/>
                <w:highlight w:val="none"/>
                <w:lang w:val="en-US" w:eastAsia="zh-CN"/>
              </w:rPr>
              <w:t>9</w:t>
            </w:r>
          </w:p>
        </w:tc>
        <w:tc>
          <w:tcPr>
            <w:tcW w:w="715" w:type="dxa"/>
            <w:vAlign w:val="top"/>
          </w:tcPr>
          <w:p w14:paraId="416306EF">
            <w:pPr>
              <w:pStyle w:val="9"/>
              <w:spacing w:before="222" w:line="204" w:lineRule="auto"/>
              <w:ind w:left="111" w:leftChars="0"/>
              <w:rPr>
                <w:rFonts w:hint="eastAsia" w:eastAsia="宋体"/>
                <w:color w:val="auto"/>
                <w:highlight w:val="none"/>
                <w:lang w:eastAsia="zh-CN"/>
              </w:rPr>
            </w:pPr>
            <w:r>
              <w:rPr>
                <w:rFonts w:hint="eastAsia"/>
                <w:color w:val="auto"/>
                <w:spacing w:val="1"/>
                <w:sz w:val="14"/>
                <w:szCs w:val="14"/>
                <w:highlight w:val="none"/>
                <w:lang w:val="en-US" w:eastAsia="zh-CN"/>
              </w:rPr>
              <w:t>15</w:t>
            </w:r>
            <w:r>
              <w:rPr>
                <w:color w:val="auto"/>
                <w:spacing w:val="1"/>
                <w:sz w:val="14"/>
                <w:szCs w:val="14"/>
                <w:highlight w:val="none"/>
              </w:rPr>
              <w:t>”</w:t>
            </w:r>
            <w:r>
              <w:rPr>
                <w:rFonts w:hint="eastAsia"/>
                <w:color w:val="auto"/>
                <w:spacing w:val="1"/>
                <w:sz w:val="14"/>
                <w:szCs w:val="14"/>
                <w:highlight w:val="none"/>
                <w:lang w:val="en-US" w:eastAsia="zh-CN"/>
              </w:rPr>
              <w:t>6</w:t>
            </w:r>
          </w:p>
        </w:tc>
        <w:tc>
          <w:tcPr>
            <w:tcW w:w="716" w:type="dxa"/>
            <w:vAlign w:val="top"/>
          </w:tcPr>
          <w:p w14:paraId="44D1AE9D">
            <w:pPr>
              <w:pStyle w:val="9"/>
              <w:spacing w:before="213" w:line="213" w:lineRule="auto"/>
              <w:ind w:left="152" w:leftChars="0"/>
              <w:rPr>
                <w:rFonts w:hint="eastAsia" w:eastAsia="宋体"/>
                <w:color w:val="auto"/>
                <w:highlight w:val="none"/>
                <w:lang w:eastAsia="zh-CN"/>
              </w:rPr>
            </w:pPr>
            <w:r>
              <w:rPr>
                <w:color w:val="auto"/>
                <w:spacing w:val="-2"/>
                <w:sz w:val="14"/>
                <w:szCs w:val="14"/>
                <w:highlight w:val="none"/>
              </w:rPr>
              <w:t>15"</w:t>
            </w:r>
            <w:r>
              <w:rPr>
                <w:rFonts w:hint="eastAsia"/>
                <w:color w:val="auto"/>
                <w:spacing w:val="-2"/>
                <w:sz w:val="14"/>
                <w:szCs w:val="14"/>
                <w:highlight w:val="none"/>
                <w:lang w:val="en-US" w:eastAsia="zh-CN"/>
              </w:rPr>
              <w:t>3</w:t>
            </w:r>
          </w:p>
        </w:tc>
        <w:tc>
          <w:tcPr>
            <w:tcW w:w="727" w:type="dxa"/>
            <w:vAlign w:val="top"/>
          </w:tcPr>
          <w:p w14:paraId="3D1D48FB">
            <w:pPr>
              <w:pStyle w:val="9"/>
              <w:spacing w:before="222" w:line="204" w:lineRule="auto"/>
              <w:ind w:left="113" w:leftChars="0"/>
              <w:rPr>
                <w:rFonts w:hint="eastAsia" w:eastAsia="宋体"/>
                <w:color w:val="auto"/>
                <w:highlight w:val="none"/>
                <w:lang w:eastAsia="zh-CN"/>
              </w:rPr>
            </w:pPr>
            <w:r>
              <w:rPr>
                <w:color w:val="auto"/>
                <w:spacing w:val="-6"/>
                <w:sz w:val="14"/>
                <w:szCs w:val="14"/>
                <w:highlight w:val="none"/>
              </w:rPr>
              <w:t>15</w:t>
            </w:r>
            <w:r>
              <w:rPr>
                <w:color w:val="auto"/>
                <w:spacing w:val="-51"/>
                <w:sz w:val="14"/>
                <w:szCs w:val="14"/>
                <w:highlight w:val="none"/>
              </w:rPr>
              <w:t xml:space="preserve"> </w:t>
            </w:r>
            <w:r>
              <w:rPr>
                <w:color w:val="auto"/>
                <w:spacing w:val="-6"/>
                <w:sz w:val="14"/>
                <w:szCs w:val="14"/>
                <w:highlight w:val="none"/>
              </w:rPr>
              <w:t>”</w:t>
            </w:r>
            <w:r>
              <w:rPr>
                <w:rFonts w:hint="eastAsia"/>
                <w:color w:val="auto"/>
                <w:spacing w:val="-6"/>
                <w:sz w:val="14"/>
                <w:szCs w:val="14"/>
                <w:highlight w:val="none"/>
                <w:lang w:val="en-US" w:eastAsia="zh-CN"/>
              </w:rPr>
              <w:t>0</w:t>
            </w:r>
          </w:p>
        </w:tc>
        <w:tc>
          <w:tcPr>
            <w:tcW w:w="645" w:type="dxa"/>
            <w:vAlign w:val="top"/>
          </w:tcPr>
          <w:p w14:paraId="03F3CDAD">
            <w:pPr>
              <w:pStyle w:val="9"/>
              <w:spacing w:before="215" w:line="213" w:lineRule="auto"/>
              <w:ind w:left="155" w:leftChars="0"/>
              <w:rPr>
                <w:rFonts w:hint="default" w:eastAsia="宋体"/>
                <w:color w:val="auto"/>
                <w:highlight w:val="none"/>
                <w:lang w:val="en-US" w:eastAsia="zh-CN"/>
              </w:rPr>
            </w:pPr>
            <w:r>
              <w:rPr>
                <w:color w:val="auto"/>
                <w:spacing w:val="-2"/>
                <w:sz w:val="14"/>
                <w:szCs w:val="14"/>
                <w:highlight w:val="none"/>
              </w:rPr>
              <w:t>1</w:t>
            </w:r>
            <w:r>
              <w:rPr>
                <w:rFonts w:hint="eastAsia"/>
                <w:color w:val="auto"/>
                <w:spacing w:val="-2"/>
                <w:sz w:val="14"/>
                <w:szCs w:val="14"/>
                <w:highlight w:val="none"/>
                <w:lang w:val="en-US" w:eastAsia="zh-CN"/>
              </w:rPr>
              <w:t>4</w:t>
            </w:r>
            <w:r>
              <w:rPr>
                <w:color w:val="auto"/>
                <w:spacing w:val="-2"/>
                <w:sz w:val="14"/>
                <w:szCs w:val="14"/>
                <w:highlight w:val="none"/>
              </w:rPr>
              <w:t>"</w:t>
            </w:r>
            <w:r>
              <w:rPr>
                <w:rFonts w:hint="eastAsia"/>
                <w:color w:val="auto"/>
                <w:spacing w:val="-2"/>
                <w:sz w:val="14"/>
                <w:szCs w:val="14"/>
                <w:highlight w:val="none"/>
                <w:lang w:val="en-US" w:eastAsia="zh-CN"/>
              </w:rPr>
              <w:t>7</w:t>
            </w:r>
          </w:p>
        </w:tc>
        <w:tc>
          <w:tcPr>
            <w:tcW w:w="727" w:type="dxa"/>
            <w:vAlign w:val="top"/>
          </w:tcPr>
          <w:p w14:paraId="1C1F796B">
            <w:pPr>
              <w:pStyle w:val="9"/>
              <w:spacing w:before="215" w:line="213" w:lineRule="auto"/>
              <w:ind w:left="156" w:leftChars="0"/>
              <w:rPr>
                <w:rFonts w:hint="eastAsia" w:eastAsia="宋体"/>
                <w:color w:val="auto"/>
                <w:highlight w:val="none"/>
                <w:lang w:eastAsia="zh-CN"/>
              </w:rPr>
            </w:pPr>
            <w:r>
              <w:rPr>
                <w:color w:val="auto"/>
                <w:spacing w:val="-2"/>
                <w:sz w:val="14"/>
                <w:szCs w:val="14"/>
                <w:highlight w:val="none"/>
              </w:rPr>
              <w:t>14"</w:t>
            </w:r>
            <w:r>
              <w:rPr>
                <w:rFonts w:hint="eastAsia"/>
                <w:color w:val="auto"/>
                <w:spacing w:val="-2"/>
                <w:sz w:val="14"/>
                <w:szCs w:val="14"/>
                <w:highlight w:val="none"/>
                <w:lang w:val="en-US" w:eastAsia="zh-CN"/>
              </w:rPr>
              <w:t>4</w:t>
            </w:r>
          </w:p>
        </w:tc>
        <w:tc>
          <w:tcPr>
            <w:tcW w:w="704" w:type="dxa"/>
            <w:vAlign w:val="top"/>
          </w:tcPr>
          <w:p w14:paraId="34922E27">
            <w:pPr>
              <w:pStyle w:val="9"/>
              <w:spacing w:before="215" w:line="213" w:lineRule="auto"/>
              <w:ind w:left="159" w:leftChars="0"/>
              <w:rPr>
                <w:rFonts w:hint="default" w:eastAsia="宋体"/>
                <w:color w:val="auto"/>
                <w:highlight w:val="none"/>
                <w:lang w:val="en-US" w:eastAsia="zh-CN"/>
              </w:rPr>
            </w:pPr>
            <w:r>
              <w:rPr>
                <w:color w:val="auto"/>
                <w:spacing w:val="-2"/>
                <w:sz w:val="14"/>
                <w:szCs w:val="14"/>
                <w:highlight w:val="none"/>
              </w:rPr>
              <w:t>14"</w:t>
            </w:r>
            <w:r>
              <w:rPr>
                <w:rFonts w:hint="eastAsia"/>
                <w:color w:val="auto"/>
                <w:spacing w:val="-2"/>
                <w:sz w:val="14"/>
                <w:szCs w:val="14"/>
                <w:highlight w:val="none"/>
                <w:lang w:val="en-US" w:eastAsia="zh-CN"/>
              </w:rPr>
              <w:t>1</w:t>
            </w:r>
          </w:p>
        </w:tc>
        <w:tc>
          <w:tcPr>
            <w:tcW w:w="727" w:type="dxa"/>
            <w:vAlign w:val="top"/>
          </w:tcPr>
          <w:p w14:paraId="47EE589E">
            <w:pPr>
              <w:pStyle w:val="9"/>
              <w:spacing w:before="215" w:line="213" w:lineRule="auto"/>
              <w:ind w:left="159" w:leftChars="0"/>
              <w:rPr>
                <w:rFonts w:hint="eastAsia" w:eastAsia="宋体"/>
                <w:color w:val="auto"/>
                <w:highlight w:val="none"/>
                <w:lang w:eastAsia="zh-CN"/>
              </w:rPr>
            </w:pPr>
            <w:r>
              <w:rPr>
                <w:color w:val="auto"/>
                <w:spacing w:val="-2"/>
                <w:sz w:val="14"/>
                <w:szCs w:val="14"/>
                <w:highlight w:val="none"/>
              </w:rPr>
              <w:t>1</w:t>
            </w:r>
            <w:r>
              <w:rPr>
                <w:rFonts w:hint="eastAsia"/>
                <w:color w:val="auto"/>
                <w:spacing w:val="-2"/>
                <w:sz w:val="14"/>
                <w:szCs w:val="14"/>
                <w:highlight w:val="none"/>
                <w:lang w:val="en-US" w:eastAsia="zh-CN"/>
              </w:rPr>
              <w:t>3</w:t>
            </w:r>
            <w:r>
              <w:rPr>
                <w:color w:val="auto"/>
                <w:spacing w:val="-2"/>
                <w:sz w:val="14"/>
                <w:szCs w:val="14"/>
                <w:highlight w:val="none"/>
              </w:rPr>
              <w:t>"</w:t>
            </w:r>
            <w:r>
              <w:rPr>
                <w:rFonts w:hint="eastAsia"/>
                <w:color w:val="auto"/>
                <w:spacing w:val="-2"/>
                <w:sz w:val="14"/>
                <w:szCs w:val="14"/>
                <w:highlight w:val="none"/>
                <w:lang w:val="en-US" w:eastAsia="zh-CN"/>
              </w:rPr>
              <w:t>8</w:t>
            </w:r>
          </w:p>
        </w:tc>
        <w:tc>
          <w:tcPr>
            <w:tcW w:w="882" w:type="dxa"/>
            <w:vAlign w:val="top"/>
          </w:tcPr>
          <w:p w14:paraId="40D70734">
            <w:pPr>
              <w:pStyle w:val="9"/>
              <w:spacing w:before="219" w:line="204" w:lineRule="auto"/>
              <w:ind w:left="118" w:leftChars="0"/>
              <w:rPr>
                <w:rFonts w:hint="default" w:eastAsia="宋体"/>
                <w:color w:val="auto"/>
                <w:highlight w:val="none"/>
                <w:lang w:val="en-US" w:eastAsia="zh-CN"/>
              </w:rPr>
            </w:pPr>
            <w:r>
              <w:rPr>
                <w:color w:val="auto"/>
                <w:spacing w:val="-2"/>
                <w:sz w:val="14"/>
                <w:szCs w:val="14"/>
                <w:highlight w:val="none"/>
              </w:rPr>
              <w:t>1</w:t>
            </w:r>
            <w:r>
              <w:rPr>
                <w:rFonts w:hint="eastAsia"/>
                <w:color w:val="auto"/>
                <w:spacing w:val="-2"/>
                <w:sz w:val="14"/>
                <w:szCs w:val="14"/>
                <w:highlight w:val="none"/>
                <w:lang w:val="en-US" w:eastAsia="zh-CN"/>
              </w:rPr>
              <w:t>3</w:t>
            </w:r>
            <w:r>
              <w:rPr>
                <w:color w:val="auto"/>
                <w:spacing w:val="-2"/>
                <w:sz w:val="14"/>
                <w:szCs w:val="14"/>
                <w:highlight w:val="none"/>
              </w:rPr>
              <w:t>”</w:t>
            </w:r>
            <w:r>
              <w:rPr>
                <w:rFonts w:hint="eastAsia"/>
                <w:color w:val="auto"/>
                <w:spacing w:val="-2"/>
                <w:sz w:val="14"/>
                <w:szCs w:val="14"/>
                <w:highlight w:val="none"/>
                <w:lang w:val="en-US" w:eastAsia="zh-CN"/>
              </w:rPr>
              <w:t>5</w:t>
            </w:r>
          </w:p>
        </w:tc>
        <w:tc>
          <w:tcPr>
            <w:tcW w:w="449" w:type="dxa"/>
            <w:vMerge w:val="continue"/>
            <w:vAlign w:val="top"/>
          </w:tcPr>
          <w:p w14:paraId="012138DE">
            <w:pPr>
              <w:rPr>
                <w:rFonts w:ascii="Arial"/>
                <w:color w:val="auto"/>
                <w:sz w:val="21"/>
                <w:highlight w:val="none"/>
              </w:rPr>
            </w:pPr>
          </w:p>
        </w:tc>
      </w:tr>
      <w:tr w14:paraId="15F70B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40" w:hRule="atLeast"/>
        </w:trPr>
        <w:tc>
          <w:tcPr>
            <w:tcW w:w="944" w:type="dxa"/>
            <w:vMerge w:val="continue"/>
            <w:tcBorders>
              <w:top w:val="single" w:color="auto" w:sz="4" w:space="0"/>
              <w:left w:val="single" w:color="auto" w:sz="4" w:space="0"/>
              <w:bottom w:val="single" w:color="auto" w:sz="4" w:space="0"/>
              <w:right w:val="single" w:color="auto" w:sz="4" w:space="0"/>
            </w:tcBorders>
            <w:vAlign w:val="top"/>
          </w:tcPr>
          <w:p w14:paraId="43F5E06A">
            <w:pPr>
              <w:rPr>
                <w:rFonts w:ascii="Arial"/>
                <w:color w:val="auto"/>
                <w:sz w:val="21"/>
                <w:highlight w:val="none"/>
              </w:rPr>
            </w:pPr>
          </w:p>
        </w:tc>
        <w:tc>
          <w:tcPr>
            <w:tcW w:w="7145" w:type="dxa"/>
            <w:gridSpan w:val="10"/>
            <w:tcBorders>
              <w:left w:val="single" w:color="auto" w:sz="4" w:space="0"/>
            </w:tcBorders>
            <w:vAlign w:val="top"/>
          </w:tcPr>
          <w:p w14:paraId="72AE765D">
            <w:pPr>
              <w:spacing w:line="352" w:lineRule="auto"/>
              <w:rPr>
                <w:rFonts w:ascii="Arial"/>
                <w:color w:val="auto"/>
                <w:sz w:val="21"/>
                <w:highlight w:val="none"/>
              </w:rPr>
            </w:pPr>
          </w:p>
          <w:p w14:paraId="40C981C6">
            <w:pPr>
              <w:pStyle w:val="9"/>
              <w:spacing w:before="45" w:line="231" w:lineRule="auto"/>
              <w:ind w:left="49"/>
              <w:rPr>
                <w:color w:val="auto"/>
                <w:sz w:val="14"/>
                <w:szCs w:val="14"/>
                <w:highlight w:val="none"/>
              </w:rPr>
            </w:pPr>
            <w:r>
              <w:rPr>
                <w:color w:val="auto"/>
                <w:spacing w:val="3"/>
                <w:sz w:val="14"/>
                <w:szCs w:val="14"/>
                <w:highlight w:val="none"/>
              </w:rPr>
              <w:t>1.分组考核。</w:t>
            </w:r>
          </w:p>
          <w:p w14:paraId="54733D5E">
            <w:pPr>
              <w:pStyle w:val="9"/>
              <w:spacing w:before="125" w:line="230" w:lineRule="auto"/>
              <w:ind w:left="39"/>
              <w:rPr>
                <w:rFonts w:hint="eastAsia" w:eastAsia="宋体"/>
                <w:color w:val="auto"/>
                <w:sz w:val="14"/>
                <w:szCs w:val="14"/>
                <w:highlight w:val="none"/>
                <w:lang w:eastAsia="zh-CN"/>
              </w:rPr>
            </w:pPr>
            <w:r>
              <w:rPr>
                <w:color w:val="auto"/>
                <w:spacing w:val="8"/>
                <w:sz w:val="14"/>
                <w:szCs w:val="14"/>
                <w:highlight w:val="none"/>
              </w:rPr>
              <w:t>2.在100米长直线跑道上标出起点线和终点线，考生从起点线处听到起跑口令后起跑，通过终点线记录时间</w:t>
            </w:r>
            <w:r>
              <w:rPr>
                <w:rFonts w:hint="eastAsia"/>
                <w:color w:val="auto"/>
                <w:spacing w:val="8"/>
                <w:sz w:val="14"/>
                <w:szCs w:val="14"/>
                <w:highlight w:val="none"/>
                <w:lang w:eastAsia="zh-CN"/>
              </w:rPr>
              <w:t>。</w:t>
            </w:r>
          </w:p>
          <w:p w14:paraId="076DF169">
            <w:pPr>
              <w:pStyle w:val="9"/>
              <w:spacing w:before="131" w:line="300" w:lineRule="exact"/>
              <w:ind w:left="40" w:leftChars="0"/>
              <w:rPr>
                <w:color w:val="auto"/>
                <w:highlight w:val="none"/>
              </w:rPr>
            </w:pPr>
            <w:r>
              <w:rPr>
                <w:color w:val="auto"/>
                <w:spacing w:val="8"/>
                <w:position w:val="12"/>
                <w:sz w:val="14"/>
                <w:szCs w:val="14"/>
                <w:highlight w:val="none"/>
              </w:rPr>
              <w:t>3.抢跑犯规，重新组织起跑：跑出本道或用其他方式</w:t>
            </w:r>
            <w:r>
              <w:rPr>
                <w:rFonts w:hint="eastAsia"/>
                <w:color w:val="auto"/>
                <w:spacing w:val="8"/>
                <w:position w:val="12"/>
                <w:sz w:val="14"/>
                <w:szCs w:val="14"/>
                <w:highlight w:val="none"/>
                <w:lang w:eastAsia="zh-CN"/>
              </w:rPr>
              <w:t>干扰</w:t>
            </w:r>
            <w:r>
              <w:rPr>
                <w:color w:val="auto"/>
                <w:spacing w:val="8"/>
                <w:position w:val="12"/>
                <w:sz w:val="14"/>
                <w:szCs w:val="14"/>
                <w:highlight w:val="none"/>
              </w:rPr>
              <w:t>、阻碍他人者不记录成绩</w:t>
            </w:r>
          </w:p>
        </w:tc>
        <w:tc>
          <w:tcPr>
            <w:tcW w:w="449" w:type="dxa"/>
            <w:vMerge w:val="continue"/>
            <w:vAlign w:val="top"/>
          </w:tcPr>
          <w:p w14:paraId="2483C91F">
            <w:pPr>
              <w:rPr>
                <w:rFonts w:ascii="Arial"/>
                <w:color w:val="auto"/>
                <w:sz w:val="21"/>
                <w:highlight w:val="none"/>
              </w:rPr>
            </w:pPr>
          </w:p>
        </w:tc>
      </w:tr>
      <w:tr w14:paraId="3DEA7B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1" w:hRule="atLeast"/>
        </w:trPr>
        <w:tc>
          <w:tcPr>
            <w:tcW w:w="944" w:type="dxa"/>
            <w:tcBorders>
              <w:top w:val="single" w:color="auto" w:sz="4" w:space="0"/>
            </w:tcBorders>
            <w:vAlign w:val="center"/>
          </w:tcPr>
          <w:p w14:paraId="1E83169E">
            <w:pPr>
              <w:jc w:val="both"/>
              <w:rPr>
                <w:rFonts w:hint="eastAsia" w:eastAsia="宋体"/>
                <w:b/>
                <w:bCs/>
                <w:color w:val="auto"/>
                <w:sz w:val="21"/>
                <w:highlight w:val="none"/>
                <w:lang w:val="en-US" w:eastAsia="zh-CN"/>
              </w:rPr>
            </w:pPr>
          </w:p>
          <w:p w14:paraId="42BE8ABD">
            <w:pPr>
              <w:jc w:val="center"/>
              <w:rPr>
                <w:rFonts w:hint="eastAsia" w:ascii="Arial" w:eastAsia="宋体"/>
                <w:color w:val="auto"/>
                <w:sz w:val="21"/>
                <w:highlight w:val="none"/>
                <w:lang w:val="en-US" w:eastAsia="zh-CN"/>
              </w:rPr>
            </w:pPr>
            <w:r>
              <w:rPr>
                <w:rFonts w:hint="eastAsia" w:eastAsia="宋体"/>
                <w:b/>
                <w:bCs/>
                <w:color w:val="auto"/>
                <w:sz w:val="21"/>
                <w:highlight w:val="none"/>
                <w:lang w:val="en-US" w:eastAsia="zh-CN"/>
              </w:rPr>
              <w:t>备注</w:t>
            </w:r>
          </w:p>
        </w:tc>
        <w:tc>
          <w:tcPr>
            <w:tcW w:w="7145" w:type="dxa"/>
            <w:gridSpan w:val="10"/>
            <w:vAlign w:val="center"/>
          </w:tcPr>
          <w:p w14:paraId="214DF78D">
            <w:pPr>
              <w:pStyle w:val="9"/>
              <w:spacing w:before="131" w:line="300" w:lineRule="exact"/>
              <w:jc w:val="center"/>
              <w:rPr>
                <w:color w:val="auto"/>
                <w:spacing w:val="8"/>
                <w:position w:val="12"/>
                <w:sz w:val="14"/>
                <w:szCs w:val="14"/>
                <w:highlight w:val="none"/>
              </w:rPr>
            </w:pPr>
            <w:r>
              <w:rPr>
                <w:rFonts w:hint="eastAsia" w:ascii="仿宋_GB2312" w:hAnsi="仿宋_GB2312" w:eastAsia="仿宋_GB2312" w:cs="仿宋_GB2312"/>
                <w:b/>
                <w:bCs/>
                <w:color w:val="auto"/>
                <w:sz w:val="20"/>
                <w:szCs w:val="20"/>
              </w:rPr>
              <w:t>体能</w:t>
            </w:r>
            <w:r>
              <w:rPr>
                <w:rFonts w:hint="eastAsia" w:ascii="仿宋_GB2312" w:hAnsi="仿宋_GB2312" w:eastAsia="仿宋_GB2312" w:cs="仿宋_GB2312"/>
                <w:b/>
                <w:bCs/>
                <w:color w:val="auto"/>
                <w:sz w:val="20"/>
                <w:szCs w:val="20"/>
                <w:lang w:val="en-US" w:eastAsia="zh-CN"/>
              </w:rPr>
              <w:t>测试</w:t>
            </w:r>
            <w:r>
              <w:rPr>
                <w:rFonts w:hint="eastAsia" w:ascii="仿宋_GB2312" w:hAnsi="仿宋_GB2312" w:eastAsia="仿宋_GB2312" w:cs="仿宋_GB2312"/>
                <w:b/>
                <w:bCs/>
                <w:color w:val="auto"/>
                <w:sz w:val="20"/>
                <w:szCs w:val="20"/>
              </w:rPr>
              <w:t>单项未取得有效成绩或</w:t>
            </w:r>
            <w:r>
              <w:rPr>
                <w:rFonts w:hint="eastAsia" w:ascii="仿宋_GB2312" w:hAnsi="仿宋_GB2312" w:eastAsia="仿宋_GB2312" w:cs="仿宋_GB2312"/>
                <w:b/>
                <w:bCs/>
                <w:color w:val="auto"/>
                <w:sz w:val="20"/>
                <w:szCs w:val="20"/>
                <w:lang w:val="en-US" w:eastAsia="zh-CN"/>
              </w:rPr>
              <w:t>体能测试</w:t>
            </w:r>
            <w:r>
              <w:rPr>
                <w:rFonts w:hint="eastAsia" w:ascii="仿宋_GB2312" w:hAnsi="仿宋_GB2312" w:eastAsia="仿宋_GB2312" w:cs="仿宋_GB2312"/>
                <w:b/>
                <w:bCs/>
                <w:color w:val="auto"/>
                <w:sz w:val="20"/>
                <w:szCs w:val="20"/>
              </w:rPr>
              <w:t>总分低于60分</w:t>
            </w:r>
            <w:r>
              <w:rPr>
                <w:rFonts w:hint="eastAsia" w:ascii="仿宋_GB2312" w:hAnsi="仿宋_GB2312" w:eastAsia="仿宋_GB2312" w:cs="仿宋_GB2312"/>
                <w:b/>
                <w:bCs/>
                <w:color w:val="auto"/>
                <w:sz w:val="20"/>
                <w:szCs w:val="20"/>
                <w:lang w:val="en-US" w:eastAsia="zh-CN"/>
              </w:rPr>
              <w:t>的为不合格，不予录用。</w:t>
            </w:r>
          </w:p>
        </w:tc>
        <w:tc>
          <w:tcPr>
            <w:tcW w:w="449" w:type="dxa"/>
            <w:vAlign w:val="top"/>
          </w:tcPr>
          <w:p w14:paraId="5C3BB7B5">
            <w:pPr>
              <w:rPr>
                <w:rFonts w:ascii="Arial"/>
                <w:color w:val="auto"/>
                <w:sz w:val="21"/>
                <w:highlight w:val="none"/>
              </w:rPr>
            </w:pPr>
          </w:p>
        </w:tc>
      </w:tr>
    </w:tbl>
    <w:p w14:paraId="2210F477">
      <w:pPr>
        <w:rPr>
          <w:rFonts w:ascii="Arial" w:hAnsi="Arial" w:eastAsia="Arial" w:cs="Arial"/>
          <w:color w:val="auto"/>
          <w:sz w:val="21"/>
          <w:szCs w:val="21"/>
          <w:highlight w:val="none"/>
        </w:rPr>
        <w:sectPr>
          <w:pgSz w:w="11910" w:h="16840"/>
          <w:pgMar w:top="1431" w:right="1714" w:bottom="0" w:left="1786" w:header="0" w:footer="0" w:gutter="0"/>
          <w:cols w:space="720" w:num="1"/>
        </w:sectPr>
      </w:pPr>
    </w:p>
    <w:p w14:paraId="0B3FC4B5">
      <w:pPr>
        <w:rPr>
          <w:rFonts w:ascii="Arial"/>
          <w:color w:val="auto"/>
          <w:sz w:val="21"/>
          <w:highlight w:val="none"/>
        </w:rPr>
      </w:pPr>
    </w:p>
    <w:sectPr>
      <w:pgSz w:w="11910" w:h="16840"/>
      <w:pgMar w:top="1431" w:right="1786" w:bottom="0" w:left="1786"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BD7B2B28-6630-46EA-BD1A-3BBCD087F4FC}"/>
  </w:font>
  <w:font w:name="黑体">
    <w:panose1 w:val="02010609060101010101"/>
    <w:charset w:val="86"/>
    <w:family w:val="auto"/>
    <w:pitch w:val="default"/>
    <w:sig w:usb0="800002BF" w:usb1="38CF7CFA" w:usb2="00000016" w:usb3="00000000" w:csb0="00040001" w:csb1="00000000"/>
    <w:embedRegular r:id="rId2" w:fontKey="{6612FD54-3F67-403B-8735-3C64D96A596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3000509000000000000"/>
    <w:charset w:val="86"/>
    <w:family w:val="script"/>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embedRegular r:id="rId3" w:fontKey="{3A14653C-962E-448A-AD76-020F54A1D903}"/>
  </w:font>
  <w:font w:name="仿宋_GB2312">
    <w:panose1 w:val="02010609030101010101"/>
    <w:charset w:val="86"/>
    <w:family w:val="auto"/>
    <w:pitch w:val="default"/>
    <w:sig w:usb0="00000001" w:usb1="080E0000" w:usb2="00000000" w:usb3="00000000" w:csb0="00040000" w:csb1="00000000"/>
    <w:embedRegular r:id="rId4" w:fontKey="{366C48A4-8CC4-448F-B0F7-7CDAE56CA058}"/>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OWRmMjNhM2JjYjY2MGQwNzczNzI3MzU1YTQ3YjYzZWEifQ=="/>
  </w:docVars>
  <w:rsids>
    <w:rsidRoot w:val="00000000"/>
    <w:rsid w:val="0002480F"/>
    <w:rsid w:val="00311A5F"/>
    <w:rsid w:val="003C4253"/>
    <w:rsid w:val="03B33F46"/>
    <w:rsid w:val="05123C0E"/>
    <w:rsid w:val="085B7ABE"/>
    <w:rsid w:val="08766BA9"/>
    <w:rsid w:val="0B4A5B61"/>
    <w:rsid w:val="0C6C454B"/>
    <w:rsid w:val="0D123ADC"/>
    <w:rsid w:val="0D2646B9"/>
    <w:rsid w:val="0D307327"/>
    <w:rsid w:val="0DC113A5"/>
    <w:rsid w:val="0DCB75F9"/>
    <w:rsid w:val="0F0A3BA7"/>
    <w:rsid w:val="101E32FD"/>
    <w:rsid w:val="10874ED7"/>
    <w:rsid w:val="10F62635"/>
    <w:rsid w:val="11890EF9"/>
    <w:rsid w:val="11AD4D91"/>
    <w:rsid w:val="122E5DFF"/>
    <w:rsid w:val="14027543"/>
    <w:rsid w:val="164756E1"/>
    <w:rsid w:val="168F3886"/>
    <w:rsid w:val="1A077341"/>
    <w:rsid w:val="1B7C5E2D"/>
    <w:rsid w:val="1C5B630D"/>
    <w:rsid w:val="1D13411D"/>
    <w:rsid w:val="1D4C0C5C"/>
    <w:rsid w:val="1D835182"/>
    <w:rsid w:val="1DE80D5D"/>
    <w:rsid w:val="202C1CDB"/>
    <w:rsid w:val="234713AF"/>
    <w:rsid w:val="23F37033"/>
    <w:rsid w:val="24F01743"/>
    <w:rsid w:val="259F4932"/>
    <w:rsid w:val="26263565"/>
    <w:rsid w:val="264F3990"/>
    <w:rsid w:val="26E31456"/>
    <w:rsid w:val="280A45BB"/>
    <w:rsid w:val="287265EE"/>
    <w:rsid w:val="28A349F9"/>
    <w:rsid w:val="29414583"/>
    <w:rsid w:val="2B2D0A50"/>
    <w:rsid w:val="2B3531EF"/>
    <w:rsid w:val="2BC15B80"/>
    <w:rsid w:val="2C931D85"/>
    <w:rsid w:val="2E2F6AD7"/>
    <w:rsid w:val="2EA9020B"/>
    <w:rsid w:val="306867B0"/>
    <w:rsid w:val="31BA6A63"/>
    <w:rsid w:val="33582884"/>
    <w:rsid w:val="34B166F0"/>
    <w:rsid w:val="372D1296"/>
    <w:rsid w:val="378647A2"/>
    <w:rsid w:val="388D4FDE"/>
    <w:rsid w:val="39BF18AF"/>
    <w:rsid w:val="3B0078EB"/>
    <w:rsid w:val="3CB64F30"/>
    <w:rsid w:val="3D4C4DD0"/>
    <w:rsid w:val="3EA8329B"/>
    <w:rsid w:val="3F3B5DDC"/>
    <w:rsid w:val="3F406BE5"/>
    <w:rsid w:val="40302BBE"/>
    <w:rsid w:val="41911D83"/>
    <w:rsid w:val="41EC1E0A"/>
    <w:rsid w:val="42631017"/>
    <w:rsid w:val="43330A60"/>
    <w:rsid w:val="454B706A"/>
    <w:rsid w:val="46245494"/>
    <w:rsid w:val="46340F2E"/>
    <w:rsid w:val="47537B6C"/>
    <w:rsid w:val="481172FD"/>
    <w:rsid w:val="487D7CF1"/>
    <w:rsid w:val="48C301EE"/>
    <w:rsid w:val="49EB220F"/>
    <w:rsid w:val="4A6C2D8E"/>
    <w:rsid w:val="4AA62672"/>
    <w:rsid w:val="4C087C05"/>
    <w:rsid w:val="4C327CBE"/>
    <w:rsid w:val="4D64034B"/>
    <w:rsid w:val="4E9C58C3"/>
    <w:rsid w:val="517522E8"/>
    <w:rsid w:val="51C23892"/>
    <w:rsid w:val="51E2232A"/>
    <w:rsid w:val="52814D31"/>
    <w:rsid w:val="545B2140"/>
    <w:rsid w:val="54617393"/>
    <w:rsid w:val="54635E5F"/>
    <w:rsid w:val="576A15EE"/>
    <w:rsid w:val="586A2C21"/>
    <w:rsid w:val="5A0E1D6B"/>
    <w:rsid w:val="5AB126F6"/>
    <w:rsid w:val="5AB268F3"/>
    <w:rsid w:val="5BBE331C"/>
    <w:rsid w:val="5BE70AC5"/>
    <w:rsid w:val="5CCB2EA5"/>
    <w:rsid w:val="5D4E7A2B"/>
    <w:rsid w:val="5F8B7AF7"/>
    <w:rsid w:val="602A0F80"/>
    <w:rsid w:val="60CC2CDD"/>
    <w:rsid w:val="653F1EA7"/>
    <w:rsid w:val="655F4C96"/>
    <w:rsid w:val="67444B7B"/>
    <w:rsid w:val="6AE129B9"/>
    <w:rsid w:val="6CDA5ADC"/>
    <w:rsid w:val="6D30394E"/>
    <w:rsid w:val="6D54588F"/>
    <w:rsid w:val="6DB4632D"/>
    <w:rsid w:val="6E2D3B3D"/>
    <w:rsid w:val="6F0E60E2"/>
    <w:rsid w:val="6F2E7DBF"/>
    <w:rsid w:val="6F541B76"/>
    <w:rsid w:val="70003AAC"/>
    <w:rsid w:val="709D12FB"/>
    <w:rsid w:val="71062A85"/>
    <w:rsid w:val="714F79FF"/>
    <w:rsid w:val="720C2BDC"/>
    <w:rsid w:val="72EB459F"/>
    <w:rsid w:val="74FD680C"/>
    <w:rsid w:val="750C6A4F"/>
    <w:rsid w:val="758D5C48"/>
    <w:rsid w:val="7685162E"/>
    <w:rsid w:val="778A485A"/>
    <w:rsid w:val="77985819"/>
    <w:rsid w:val="789A0918"/>
    <w:rsid w:val="79EC62E1"/>
    <w:rsid w:val="7BDF66C9"/>
    <w:rsid w:val="7D0F3580"/>
    <w:rsid w:val="7D9D293A"/>
    <w:rsid w:val="7DBC5B2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qFormat="1"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toc 3"/>
    <w:basedOn w:val="1"/>
    <w:next w:val="1"/>
    <w:unhideWhenUsed/>
    <w:qFormat/>
    <w:uiPriority w:val="39"/>
    <w:pPr>
      <w:ind w:left="840" w:leftChars="400"/>
    </w:pPr>
  </w:style>
  <w:style w:type="paragraph" w:styleId="3">
    <w:name w:val="annotation text"/>
    <w:basedOn w:val="1"/>
    <w:qFormat/>
    <w:uiPriority w:val="0"/>
    <w:pPr>
      <w:jc w:val="left"/>
    </w:p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paragraph" w:customStyle="1" w:styleId="7">
    <w:name w:val="Default"/>
    <w:next w:val="1"/>
    <w:autoRedefine/>
    <w:unhideWhenUsed/>
    <w:qFormat/>
    <w:uiPriority w:val="99"/>
    <w:pPr>
      <w:widowControl w:val="0"/>
      <w:autoSpaceDE w:val="0"/>
      <w:autoSpaceDN w:val="0"/>
      <w:adjustRightInd w:val="0"/>
    </w:pPr>
    <w:rPr>
      <w:rFonts w:hint="eastAsia" w:ascii="方正小标宋_GBK" w:hAnsi="方正小标宋_GBK" w:eastAsia="方正小标宋_GBK" w:cs="Times New Roman"/>
      <w:color w:val="000000"/>
      <w:sz w:val="24"/>
      <w:szCs w:val="22"/>
      <w:lang w:val="en-US" w:eastAsia="zh-CN" w:bidi="ar-SA"/>
    </w:rPr>
  </w:style>
  <w:style w:type="table" w:customStyle="1" w:styleId="8">
    <w:name w:val="Table Normal"/>
    <w:semiHidden/>
    <w:unhideWhenUsed/>
    <w:qFormat/>
    <w:uiPriority w:val="0"/>
    <w:tblPr>
      <w:tblCellMar>
        <w:top w:w="0" w:type="dxa"/>
        <w:left w:w="0" w:type="dxa"/>
        <w:bottom w:w="0" w:type="dxa"/>
        <w:right w:w="0" w:type="dxa"/>
      </w:tblCellMar>
    </w:tblPr>
  </w:style>
  <w:style w:type="paragraph" w:customStyle="1" w:styleId="9">
    <w:name w:val="Table Text"/>
    <w:basedOn w:val="1"/>
    <w:semiHidden/>
    <w:qFormat/>
    <w:uiPriority w:val="0"/>
    <w:rPr>
      <w:rFonts w:ascii="宋体" w:hAnsi="宋体" w:eastAsia="宋体" w:cs="宋体"/>
      <w:sz w:val="13"/>
      <w:szCs w:val="13"/>
      <w:lang w:val="en-US" w:eastAsia="en-US"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4</Pages>
  <Words>1330</Words>
  <Characters>1494</Characters>
  <TotalTime>8</TotalTime>
  <ScaleCrop>false</ScaleCrop>
  <LinksUpToDate>false</LinksUpToDate>
  <CharactersWithSpaces>1503</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2024-04-08T20:21:00Z</dcterms:created>
  <dc:creator>wang'shan</dc:creator>
  <cp:lastModifiedBy>黑桃三</cp:lastModifiedBy>
  <cp:lastPrinted>2026-10-10T05:15:00Z</cp:lastPrinted>
  <dcterms:modified xsi:type="dcterms:W3CDTF">2026-10-10T06:52:15Z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2024-04-08T20:22:11Z</vt:filetime>
  </property>
  <property fmtid="{D5CDD505-2E9C-101B-9397-08002B2CF9AE}" pid="4" name="KSOProductBuildVer">
    <vt:lpwstr>2052-12.1.0.28505</vt:lpwstr>
  </property>
  <property fmtid="{D5CDD505-2E9C-101B-9397-08002B2CF9AE}" pid="5" name="ICV">
    <vt:lpwstr>097C871815794ACAB4FBAFC9E4A3E313_13</vt:lpwstr>
  </property>
  <property fmtid="{D5CDD505-2E9C-101B-9397-08002B2CF9AE}" pid="6" name="KSOTemplateDocerSaveRecord">
    <vt:lpwstr>eyJoZGlkIjoiODFjNDU2ODkzZTFmZDJkN2MxMjlkMDdmYjE2ZjVjZWIiLCJ1c2VySWQiOiIxMjkzOTkwNDkxIn0=</vt:lpwstr>
  </property>
</Properties>
</file>