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2767EE">
      <w:pPr>
        <w:pageBreakBefore/>
        <w:spacing w:line="540" w:lineRule="exact"/>
        <w:rPr>
          <w:rFonts w:ascii="黑体" w:hAnsi="华文中宋" w:eastAsia="黑体" w:cs="宋体"/>
          <w:color w:val="000000"/>
          <w:kern w:val="0"/>
          <w:sz w:val="32"/>
          <w:szCs w:val="28"/>
        </w:rPr>
      </w:pPr>
      <w:bookmarkStart w:id="0" w:name="_GoBack"/>
      <w:bookmarkEnd w:id="0"/>
      <w:r>
        <w:rPr>
          <w:rFonts w:hint="eastAsia" w:ascii="黑体" w:hAnsi="华文中宋" w:eastAsia="黑体" w:cs="宋体"/>
          <w:color w:val="000000"/>
          <w:kern w:val="0"/>
          <w:sz w:val="32"/>
          <w:szCs w:val="28"/>
        </w:rPr>
        <w:t>附件</w:t>
      </w:r>
      <w:r>
        <w:rPr>
          <w:rFonts w:ascii="黑体" w:hAnsi="华文中宋" w:eastAsia="黑体" w:cs="宋体"/>
          <w:color w:val="000000"/>
          <w:kern w:val="0"/>
          <w:sz w:val="32"/>
          <w:szCs w:val="28"/>
        </w:rPr>
        <w:t>2</w:t>
      </w:r>
    </w:p>
    <w:p w14:paraId="36FE424A">
      <w:pPr>
        <w:widowControl/>
        <w:adjustRightInd w:val="0"/>
        <w:snapToGrid w:val="0"/>
        <w:spacing w:line="600" w:lineRule="exact"/>
        <w:ind w:firstLine="4620" w:firstLineChars="1050"/>
        <w:rPr>
          <w:rFonts w:ascii="方正小标宋_GBK" w:hAnsi="宋体" w:eastAsia="方正小标宋_GBK"/>
          <w:color w:val="000000"/>
          <w:kern w:val="0"/>
          <w:sz w:val="44"/>
          <w:szCs w:val="44"/>
        </w:rPr>
      </w:pPr>
      <w:r>
        <w:rPr>
          <w:rFonts w:hint="eastAsia" w:ascii="方正小标宋_GBK" w:hAnsi="宋体" w:eastAsia="方正小标宋_GBK"/>
          <w:color w:val="000000"/>
          <w:kern w:val="0"/>
          <w:sz w:val="44"/>
          <w:szCs w:val="44"/>
        </w:rPr>
        <w:t>就业见习岗位计划表</w:t>
      </w:r>
    </w:p>
    <w:p w14:paraId="2092B3F2">
      <w:pPr>
        <w:widowControl/>
        <w:adjustRightInd w:val="0"/>
        <w:snapToGrid w:val="0"/>
        <w:spacing w:line="600" w:lineRule="exact"/>
        <w:rPr>
          <w:rFonts w:ascii="宋体" w:hAnsi="宋体"/>
          <w:color w:val="000000"/>
          <w:kern w:val="0"/>
          <w:sz w:val="28"/>
          <w:szCs w:val="28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1674"/>
        <w:gridCol w:w="1675"/>
        <w:gridCol w:w="1675"/>
        <w:gridCol w:w="1851"/>
        <w:gridCol w:w="1497"/>
        <w:gridCol w:w="1675"/>
        <w:gridCol w:w="1675"/>
        <w:gridCol w:w="1675"/>
      </w:tblGrid>
      <w:tr w14:paraId="36459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772" w:type="dxa"/>
            <w:noWrap w:val="0"/>
            <w:vAlign w:val="center"/>
          </w:tcPr>
          <w:p w14:paraId="1054ACD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674" w:type="dxa"/>
            <w:noWrap w:val="0"/>
            <w:vAlign w:val="center"/>
          </w:tcPr>
          <w:p w14:paraId="6456667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见习岗位名称</w:t>
            </w:r>
          </w:p>
        </w:tc>
        <w:tc>
          <w:tcPr>
            <w:tcW w:w="1675" w:type="dxa"/>
            <w:noWrap w:val="0"/>
            <w:vAlign w:val="center"/>
          </w:tcPr>
          <w:p w14:paraId="2676F8D8">
            <w:pPr>
              <w:widowControl/>
              <w:tabs>
                <w:tab w:val="left" w:pos="385"/>
              </w:tabs>
              <w:adjustRightInd w:val="0"/>
              <w:snapToGrid w:val="0"/>
              <w:spacing w:line="400" w:lineRule="exact"/>
              <w:jc w:val="left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ab/>
            </w: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见习期限</w:t>
            </w:r>
          </w:p>
        </w:tc>
        <w:tc>
          <w:tcPr>
            <w:tcW w:w="1675" w:type="dxa"/>
            <w:noWrap w:val="0"/>
            <w:vAlign w:val="center"/>
          </w:tcPr>
          <w:p w14:paraId="785C402E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拟接收见习</w:t>
            </w:r>
          </w:p>
          <w:p w14:paraId="4EF93384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人数</w:t>
            </w:r>
          </w:p>
        </w:tc>
        <w:tc>
          <w:tcPr>
            <w:tcW w:w="1851" w:type="dxa"/>
            <w:noWrap w:val="0"/>
            <w:vAlign w:val="center"/>
          </w:tcPr>
          <w:p w14:paraId="6CBA7BF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占单位该岗位</w:t>
            </w:r>
          </w:p>
          <w:p w14:paraId="27E48065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职工数比例（</w:t>
            </w:r>
            <w:r>
              <w:rPr>
                <w:rFonts w:ascii="黑体" w:hAnsi="黑体" w:eastAsia="黑体"/>
                <w:color w:val="000000"/>
                <w:kern w:val="0"/>
                <w:sz w:val="24"/>
              </w:rPr>
              <w:t>%</w:t>
            </w: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）</w:t>
            </w:r>
          </w:p>
        </w:tc>
        <w:tc>
          <w:tcPr>
            <w:tcW w:w="1497" w:type="dxa"/>
            <w:noWrap w:val="0"/>
            <w:vAlign w:val="center"/>
          </w:tcPr>
          <w:p w14:paraId="3A7332F5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学历要求</w:t>
            </w:r>
          </w:p>
        </w:tc>
        <w:tc>
          <w:tcPr>
            <w:tcW w:w="1675" w:type="dxa"/>
            <w:noWrap w:val="0"/>
            <w:vAlign w:val="center"/>
          </w:tcPr>
          <w:p w14:paraId="68A70E72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专业要求</w:t>
            </w:r>
          </w:p>
        </w:tc>
        <w:tc>
          <w:tcPr>
            <w:tcW w:w="1675" w:type="dxa"/>
            <w:noWrap w:val="0"/>
            <w:vAlign w:val="center"/>
          </w:tcPr>
          <w:p w14:paraId="1E08DDAE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主要见习内容</w:t>
            </w:r>
          </w:p>
        </w:tc>
        <w:tc>
          <w:tcPr>
            <w:tcW w:w="1675" w:type="dxa"/>
            <w:noWrap w:val="0"/>
            <w:vAlign w:val="center"/>
          </w:tcPr>
          <w:p w14:paraId="1E5FFECF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见习待遇</w:t>
            </w:r>
          </w:p>
        </w:tc>
      </w:tr>
      <w:tr w14:paraId="5DF1D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772" w:type="dxa"/>
            <w:noWrap w:val="0"/>
            <w:vAlign w:val="top"/>
          </w:tcPr>
          <w:p w14:paraId="1FE9377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674" w:type="dxa"/>
            <w:noWrap w:val="0"/>
            <w:vAlign w:val="top"/>
          </w:tcPr>
          <w:p w14:paraId="454BF59E">
            <w:pPr>
              <w:widowControl/>
              <w:adjustRightInd w:val="0"/>
              <w:snapToGrid w:val="0"/>
              <w:spacing w:line="400" w:lineRule="exact"/>
              <w:ind w:firstLine="240" w:firstLineChars="100"/>
              <w:jc w:val="both"/>
              <w:rPr>
                <w:rFonts w:hint="eastAsia" w:ascii="宋体" w:hAnsi="宋体" w:eastAsia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val="en-US" w:eastAsia="zh-CN"/>
              </w:rPr>
              <w:t>医疗辅助岗</w:t>
            </w:r>
          </w:p>
        </w:tc>
        <w:tc>
          <w:tcPr>
            <w:tcW w:w="1675" w:type="dxa"/>
            <w:noWrap w:val="0"/>
            <w:vAlign w:val="top"/>
          </w:tcPr>
          <w:p w14:paraId="40A3CC4B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val="en-US" w:eastAsia="zh-CN"/>
              </w:rPr>
              <w:t>12个月</w:t>
            </w:r>
          </w:p>
        </w:tc>
        <w:tc>
          <w:tcPr>
            <w:tcW w:w="1675" w:type="dxa"/>
            <w:noWrap w:val="0"/>
            <w:vAlign w:val="top"/>
          </w:tcPr>
          <w:p w14:paraId="10D18735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val="en-US" w:eastAsia="zh-CN"/>
              </w:rPr>
              <w:t>10</w:t>
            </w:r>
          </w:p>
        </w:tc>
        <w:tc>
          <w:tcPr>
            <w:tcW w:w="1851" w:type="dxa"/>
            <w:noWrap w:val="0"/>
            <w:vAlign w:val="top"/>
          </w:tcPr>
          <w:p w14:paraId="77EBF88C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val="en-US" w:eastAsia="zh-CN"/>
              </w:rPr>
              <w:t>2.9%</w:t>
            </w:r>
          </w:p>
        </w:tc>
        <w:tc>
          <w:tcPr>
            <w:tcW w:w="1497" w:type="dxa"/>
            <w:noWrap w:val="0"/>
            <w:vAlign w:val="top"/>
          </w:tcPr>
          <w:p w14:paraId="1163DC9F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eastAsia="zh-CN"/>
              </w:rPr>
              <w:t>专科及以上</w:t>
            </w:r>
          </w:p>
        </w:tc>
        <w:tc>
          <w:tcPr>
            <w:tcW w:w="1675" w:type="dxa"/>
            <w:noWrap w:val="0"/>
            <w:vAlign w:val="top"/>
          </w:tcPr>
          <w:p w14:paraId="6D18C09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eastAsia="zh-CN"/>
              </w:rPr>
              <w:t>临床医学</w:t>
            </w:r>
          </w:p>
        </w:tc>
        <w:tc>
          <w:tcPr>
            <w:tcW w:w="1675" w:type="dxa"/>
            <w:noWrap w:val="0"/>
            <w:vAlign w:val="top"/>
          </w:tcPr>
          <w:p w14:paraId="1E9299CF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eastAsia="zh-CN"/>
              </w:rPr>
              <w:t>临床相关工作</w:t>
            </w:r>
          </w:p>
        </w:tc>
        <w:tc>
          <w:tcPr>
            <w:tcW w:w="1675" w:type="dxa"/>
            <w:noWrap w:val="0"/>
            <w:vAlign w:val="top"/>
          </w:tcPr>
          <w:p w14:paraId="242CD8CB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14:paraId="6C671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772" w:type="dxa"/>
            <w:noWrap w:val="0"/>
            <w:vAlign w:val="top"/>
          </w:tcPr>
          <w:p w14:paraId="69F07D0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674" w:type="dxa"/>
            <w:noWrap w:val="0"/>
            <w:vAlign w:val="top"/>
          </w:tcPr>
          <w:p w14:paraId="211838C2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kern w:val="0"/>
                <w:sz w:val="24"/>
                <w:lang w:eastAsia="zh-CN"/>
              </w:rPr>
              <w:t>护理辅助岗</w:t>
            </w:r>
          </w:p>
        </w:tc>
        <w:tc>
          <w:tcPr>
            <w:tcW w:w="1675" w:type="dxa"/>
            <w:noWrap w:val="0"/>
            <w:vAlign w:val="top"/>
          </w:tcPr>
          <w:p w14:paraId="166F9F5D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val="en-US" w:eastAsia="zh-CN"/>
              </w:rPr>
              <w:t>12个月</w:t>
            </w:r>
          </w:p>
        </w:tc>
        <w:tc>
          <w:tcPr>
            <w:tcW w:w="1675" w:type="dxa"/>
            <w:noWrap w:val="0"/>
            <w:vAlign w:val="top"/>
          </w:tcPr>
          <w:p w14:paraId="545FB10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val="en-US" w:eastAsia="zh-CN"/>
              </w:rPr>
              <w:t>15</w:t>
            </w:r>
          </w:p>
        </w:tc>
        <w:tc>
          <w:tcPr>
            <w:tcW w:w="1851" w:type="dxa"/>
            <w:noWrap w:val="0"/>
            <w:vAlign w:val="top"/>
          </w:tcPr>
          <w:p w14:paraId="58A6B47D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val="en-US" w:eastAsia="zh-CN"/>
              </w:rPr>
              <w:t>3.5%</w:t>
            </w:r>
          </w:p>
        </w:tc>
        <w:tc>
          <w:tcPr>
            <w:tcW w:w="1497" w:type="dxa"/>
            <w:noWrap w:val="0"/>
            <w:vAlign w:val="top"/>
          </w:tcPr>
          <w:p w14:paraId="3FED3C75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eastAsia="zh-CN"/>
              </w:rPr>
              <w:t>专科及以上</w:t>
            </w:r>
          </w:p>
        </w:tc>
        <w:tc>
          <w:tcPr>
            <w:tcW w:w="1675" w:type="dxa"/>
            <w:noWrap w:val="0"/>
            <w:vAlign w:val="top"/>
          </w:tcPr>
          <w:p w14:paraId="70DAD679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eastAsia="zh-CN"/>
              </w:rPr>
              <w:t>护理学</w:t>
            </w:r>
          </w:p>
        </w:tc>
        <w:tc>
          <w:tcPr>
            <w:tcW w:w="1675" w:type="dxa"/>
            <w:noWrap w:val="0"/>
            <w:vAlign w:val="top"/>
          </w:tcPr>
          <w:p w14:paraId="2E6A379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eastAsia="zh-CN"/>
              </w:rPr>
              <w:t>护理相关工作</w:t>
            </w:r>
          </w:p>
        </w:tc>
        <w:tc>
          <w:tcPr>
            <w:tcW w:w="1675" w:type="dxa"/>
            <w:noWrap w:val="0"/>
            <w:vAlign w:val="top"/>
          </w:tcPr>
          <w:p w14:paraId="4BD912E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14:paraId="06A5B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72" w:type="dxa"/>
            <w:noWrap w:val="0"/>
            <w:vAlign w:val="top"/>
          </w:tcPr>
          <w:p w14:paraId="7234425D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1674" w:type="dxa"/>
            <w:noWrap w:val="0"/>
            <w:vAlign w:val="top"/>
          </w:tcPr>
          <w:p w14:paraId="2C73C505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kern w:val="0"/>
                <w:sz w:val="24"/>
                <w:lang w:eastAsia="zh-CN"/>
              </w:rPr>
              <w:t>药学辅助岗</w:t>
            </w:r>
          </w:p>
        </w:tc>
        <w:tc>
          <w:tcPr>
            <w:tcW w:w="1675" w:type="dxa"/>
            <w:noWrap w:val="0"/>
            <w:vAlign w:val="top"/>
          </w:tcPr>
          <w:p w14:paraId="71BB651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val="en-US" w:eastAsia="zh-CN"/>
              </w:rPr>
              <w:t>12个月</w:t>
            </w:r>
          </w:p>
        </w:tc>
        <w:tc>
          <w:tcPr>
            <w:tcW w:w="1675" w:type="dxa"/>
            <w:noWrap w:val="0"/>
            <w:vAlign w:val="top"/>
          </w:tcPr>
          <w:p w14:paraId="1E15AAD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851" w:type="dxa"/>
            <w:noWrap w:val="0"/>
            <w:vAlign w:val="top"/>
          </w:tcPr>
          <w:p w14:paraId="2D28344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val="en-US" w:eastAsia="zh-CN"/>
              </w:rPr>
              <w:t>5.5%</w:t>
            </w:r>
          </w:p>
        </w:tc>
        <w:tc>
          <w:tcPr>
            <w:tcW w:w="1497" w:type="dxa"/>
            <w:noWrap w:val="0"/>
            <w:vAlign w:val="top"/>
          </w:tcPr>
          <w:p w14:paraId="066F8485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eastAsia="zh-CN"/>
              </w:rPr>
              <w:t>专科及以上</w:t>
            </w:r>
          </w:p>
        </w:tc>
        <w:tc>
          <w:tcPr>
            <w:tcW w:w="1675" w:type="dxa"/>
            <w:noWrap w:val="0"/>
            <w:vAlign w:val="top"/>
          </w:tcPr>
          <w:p w14:paraId="6E42E79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eastAsia="zh-CN"/>
              </w:rPr>
              <w:t>药学</w:t>
            </w:r>
          </w:p>
        </w:tc>
        <w:tc>
          <w:tcPr>
            <w:tcW w:w="1675" w:type="dxa"/>
            <w:noWrap w:val="0"/>
            <w:vAlign w:val="top"/>
          </w:tcPr>
          <w:p w14:paraId="38FCA742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eastAsia="zh-CN"/>
              </w:rPr>
              <w:t>药学相关工作</w:t>
            </w:r>
          </w:p>
        </w:tc>
        <w:tc>
          <w:tcPr>
            <w:tcW w:w="1675" w:type="dxa"/>
            <w:noWrap w:val="0"/>
            <w:vAlign w:val="top"/>
          </w:tcPr>
          <w:p w14:paraId="57A5F434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14:paraId="2807B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772" w:type="dxa"/>
            <w:noWrap w:val="0"/>
            <w:vAlign w:val="top"/>
          </w:tcPr>
          <w:p w14:paraId="127541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4" w:type="dxa"/>
            <w:noWrap w:val="0"/>
            <w:vAlign w:val="top"/>
          </w:tcPr>
          <w:p w14:paraId="15AB2F12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noWrap w:val="0"/>
            <w:vAlign w:val="top"/>
          </w:tcPr>
          <w:p w14:paraId="6EB67ECC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noWrap w:val="0"/>
            <w:vAlign w:val="top"/>
          </w:tcPr>
          <w:p w14:paraId="5CF4E9C5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851" w:type="dxa"/>
            <w:noWrap w:val="0"/>
            <w:vAlign w:val="top"/>
          </w:tcPr>
          <w:p w14:paraId="44C37F9B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497" w:type="dxa"/>
            <w:noWrap w:val="0"/>
            <w:vAlign w:val="top"/>
          </w:tcPr>
          <w:p w14:paraId="02ECB49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noWrap w:val="0"/>
            <w:vAlign w:val="top"/>
          </w:tcPr>
          <w:p w14:paraId="0A4BC3C2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noWrap w:val="0"/>
            <w:vAlign w:val="top"/>
          </w:tcPr>
          <w:p w14:paraId="44D53F49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noWrap w:val="0"/>
            <w:vAlign w:val="top"/>
          </w:tcPr>
          <w:p w14:paraId="6B1964A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14:paraId="00392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772" w:type="dxa"/>
            <w:noWrap w:val="0"/>
            <w:vAlign w:val="top"/>
          </w:tcPr>
          <w:p w14:paraId="410036F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4" w:type="dxa"/>
            <w:noWrap w:val="0"/>
            <w:vAlign w:val="top"/>
          </w:tcPr>
          <w:p w14:paraId="60DFB3AF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noWrap w:val="0"/>
            <w:vAlign w:val="top"/>
          </w:tcPr>
          <w:p w14:paraId="6D38E26D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noWrap w:val="0"/>
            <w:vAlign w:val="top"/>
          </w:tcPr>
          <w:p w14:paraId="06026503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851" w:type="dxa"/>
            <w:noWrap w:val="0"/>
            <w:vAlign w:val="top"/>
          </w:tcPr>
          <w:p w14:paraId="32D0C0C3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497" w:type="dxa"/>
            <w:noWrap w:val="0"/>
            <w:vAlign w:val="top"/>
          </w:tcPr>
          <w:p w14:paraId="1B95FE4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noWrap w:val="0"/>
            <w:vAlign w:val="top"/>
          </w:tcPr>
          <w:p w14:paraId="08E98A3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noWrap w:val="0"/>
            <w:vAlign w:val="top"/>
          </w:tcPr>
          <w:p w14:paraId="6FCB64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noWrap w:val="0"/>
            <w:vAlign w:val="top"/>
          </w:tcPr>
          <w:p w14:paraId="50B9ACB9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14:paraId="61FB9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772" w:type="dxa"/>
            <w:noWrap w:val="0"/>
            <w:vAlign w:val="top"/>
          </w:tcPr>
          <w:p w14:paraId="28A55F4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4" w:type="dxa"/>
            <w:noWrap w:val="0"/>
            <w:vAlign w:val="top"/>
          </w:tcPr>
          <w:p w14:paraId="17A6A2BF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noWrap w:val="0"/>
            <w:vAlign w:val="top"/>
          </w:tcPr>
          <w:p w14:paraId="2247DC52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noWrap w:val="0"/>
            <w:vAlign w:val="top"/>
          </w:tcPr>
          <w:p w14:paraId="5380EAC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851" w:type="dxa"/>
            <w:noWrap w:val="0"/>
            <w:vAlign w:val="top"/>
          </w:tcPr>
          <w:p w14:paraId="41501A4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497" w:type="dxa"/>
            <w:noWrap w:val="0"/>
            <w:vAlign w:val="top"/>
          </w:tcPr>
          <w:p w14:paraId="0E420449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noWrap w:val="0"/>
            <w:vAlign w:val="top"/>
          </w:tcPr>
          <w:p w14:paraId="1E3A0203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noWrap w:val="0"/>
            <w:vAlign w:val="top"/>
          </w:tcPr>
          <w:p w14:paraId="4D968B9E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noWrap w:val="0"/>
            <w:vAlign w:val="top"/>
          </w:tcPr>
          <w:p w14:paraId="208CACC9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14:paraId="77B54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772" w:type="dxa"/>
            <w:noWrap w:val="0"/>
            <w:vAlign w:val="top"/>
          </w:tcPr>
          <w:p w14:paraId="0B35558B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4" w:type="dxa"/>
            <w:noWrap w:val="0"/>
            <w:vAlign w:val="top"/>
          </w:tcPr>
          <w:p w14:paraId="4BEFF7EC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noWrap w:val="0"/>
            <w:vAlign w:val="top"/>
          </w:tcPr>
          <w:p w14:paraId="2FC43BD9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noWrap w:val="0"/>
            <w:vAlign w:val="top"/>
          </w:tcPr>
          <w:p w14:paraId="4C0FF2C5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851" w:type="dxa"/>
            <w:noWrap w:val="0"/>
            <w:vAlign w:val="top"/>
          </w:tcPr>
          <w:p w14:paraId="6F661E0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497" w:type="dxa"/>
            <w:noWrap w:val="0"/>
            <w:vAlign w:val="top"/>
          </w:tcPr>
          <w:p w14:paraId="44C81399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noWrap w:val="0"/>
            <w:vAlign w:val="top"/>
          </w:tcPr>
          <w:p w14:paraId="26DBBC1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noWrap w:val="0"/>
            <w:vAlign w:val="top"/>
          </w:tcPr>
          <w:p w14:paraId="124F86E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noWrap w:val="0"/>
            <w:vAlign w:val="top"/>
          </w:tcPr>
          <w:p w14:paraId="38F5808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14:paraId="1D8B5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772" w:type="dxa"/>
            <w:noWrap w:val="0"/>
            <w:vAlign w:val="top"/>
          </w:tcPr>
          <w:p w14:paraId="7A1422C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4" w:type="dxa"/>
            <w:noWrap w:val="0"/>
            <w:vAlign w:val="top"/>
          </w:tcPr>
          <w:p w14:paraId="32F27C2C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noWrap w:val="0"/>
            <w:vAlign w:val="top"/>
          </w:tcPr>
          <w:p w14:paraId="5C697005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noWrap w:val="0"/>
            <w:vAlign w:val="top"/>
          </w:tcPr>
          <w:p w14:paraId="5AC0AA3F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851" w:type="dxa"/>
            <w:noWrap w:val="0"/>
            <w:vAlign w:val="top"/>
          </w:tcPr>
          <w:p w14:paraId="7A60321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497" w:type="dxa"/>
            <w:noWrap w:val="0"/>
            <w:vAlign w:val="top"/>
          </w:tcPr>
          <w:p w14:paraId="5AEA758B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noWrap w:val="0"/>
            <w:vAlign w:val="top"/>
          </w:tcPr>
          <w:p w14:paraId="00FBF89F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noWrap w:val="0"/>
            <w:vAlign w:val="top"/>
          </w:tcPr>
          <w:p w14:paraId="25530C3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noWrap w:val="0"/>
            <w:vAlign w:val="top"/>
          </w:tcPr>
          <w:p w14:paraId="15F2E03E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14:paraId="3B9A6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772" w:type="dxa"/>
            <w:noWrap w:val="0"/>
            <w:vAlign w:val="top"/>
          </w:tcPr>
          <w:p w14:paraId="32477955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4" w:type="dxa"/>
            <w:noWrap w:val="0"/>
            <w:vAlign w:val="top"/>
          </w:tcPr>
          <w:p w14:paraId="1B5B7D1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noWrap w:val="0"/>
            <w:vAlign w:val="top"/>
          </w:tcPr>
          <w:p w14:paraId="4F86D2A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noWrap w:val="0"/>
            <w:vAlign w:val="top"/>
          </w:tcPr>
          <w:p w14:paraId="6F5D266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851" w:type="dxa"/>
            <w:noWrap w:val="0"/>
            <w:vAlign w:val="top"/>
          </w:tcPr>
          <w:p w14:paraId="38FF5F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497" w:type="dxa"/>
            <w:noWrap w:val="0"/>
            <w:vAlign w:val="top"/>
          </w:tcPr>
          <w:p w14:paraId="7A16A6A3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noWrap w:val="0"/>
            <w:vAlign w:val="top"/>
          </w:tcPr>
          <w:p w14:paraId="39C9E913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noWrap w:val="0"/>
            <w:vAlign w:val="top"/>
          </w:tcPr>
          <w:p w14:paraId="168D717F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noWrap w:val="0"/>
            <w:vAlign w:val="top"/>
          </w:tcPr>
          <w:p w14:paraId="461FABFE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14:paraId="39F32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772" w:type="dxa"/>
            <w:noWrap w:val="0"/>
            <w:vAlign w:val="top"/>
          </w:tcPr>
          <w:p w14:paraId="2BD85F0E">
            <w:pPr>
              <w:widowControl/>
              <w:tabs>
                <w:tab w:val="left" w:pos="296"/>
              </w:tabs>
              <w:adjustRightInd w:val="0"/>
              <w:snapToGrid w:val="0"/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1674" w:type="dxa"/>
            <w:noWrap w:val="0"/>
            <w:vAlign w:val="top"/>
          </w:tcPr>
          <w:p w14:paraId="21A669A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noWrap w:val="0"/>
            <w:vAlign w:val="top"/>
          </w:tcPr>
          <w:p w14:paraId="7BC48ECC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noWrap w:val="0"/>
            <w:vAlign w:val="top"/>
          </w:tcPr>
          <w:p w14:paraId="28B65129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val="en-US" w:eastAsia="zh-CN"/>
              </w:rPr>
              <w:t>27</w:t>
            </w:r>
          </w:p>
        </w:tc>
        <w:tc>
          <w:tcPr>
            <w:tcW w:w="1851" w:type="dxa"/>
            <w:noWrap w:val="0"/>
            <w:vAlign w:val="top"/>
          </w:tcPr>
          <w:p w14:paraId="0618B5BF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497" w:type="dxa"/>
            <w:noWrap w:val="0"/>
            <w:vAlign w:val="top"/>
          </w:tcPr>
          <w:p w14:paraId="56E1B93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noWrap w:val="0"/>
            <w:vAlign w:val="top"/>
          </w:tcPr>
          <w:p w14:paraId="43FBDA7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noWrap w:val="0"/>
            <w:vAlign w:val="top"/>
          </w:tcPr>
          <w:p w14:paraId="6CFE1B1F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75" w:type="dxa"/>
            <w:noWrap w:val="0"/>
            <w:vAlign w:val="top"/>
          </w:tcPr>
          <w:p w14:paraId="6F51F229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</w:tbl>
    <w:p w14:paraId="1A27C3C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3M2FjZTM4ZWZlNjkwYTlmYjVjMGFkNzI4ODFjZTEifQ=="/>
  </w:docVars>
  <w:rsids>
    <w:rsidRoot w:val="54AE5358"/>
    <w:rsid w:val="07A24964"/>
    <w:rsid w:val="0D3F0050"/>
    <w:rsid w:val="24CD3B0C"/>
    <w:rsid w:val="470C7FB7"/>
    <w:rsid w:val="54AE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141</Words>
  <Characters>156</Characters>
  <Lines>0</Lines>
  <Paragraphs>0</Paragraphs>
  <TotalTime>1401</TotalTime>
  <ScaleCrop>false</ScaleCrop>
  <LinksUpToDate>false</LinksUpToDate>
  <CharactersWithSpaces>159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2025-04-08T07:22:00Z</dcterms:created>
  <dc:creator>守候</dc:creator>
  <cp:lastModifiedBy>守候</cp:lastModifiedBy>
  <cp:lastPrinted>2026-10-22T07:51:00Z</cp:lastPrinted>
  <dcterms:modified xsi:type="dcterms:W3CDTF">2026-10-26T09:24:16Z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E507C00733FC4CA5A869929411817D26_13</vt:lpwstr>
  </property>
  <property fmtid="{D5CDD505-2E9C-101B-9397-08002B2CF9AE}" pid="4" name="KSOTemplateDocerSaveRecord">
    <vt:lpwstr>eyJoZGlkIjoiY2M3M2FjZTM4ZWZlNjkwYTlmYjVjMGFkNzI4ODFjZTEiLCJ1c2VySWQiOiI0NDQzNDU1NjkifQ==</vt:lpwstr>
  </property>
</Properties>
</file>