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47F2E">
      <w:pPr>
        <w:jc w:val="center"/>
        <w:rPr>
          <w:rFonts w:hint="default"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附件1：萍乡市城乡建设集团有限责任公司2026年下半年面向社会公开招聘一定任务期限员工岗位表</w:t>
      </w:r>
    </w:p>
    <w:tbl>
      <w:tblPr>
        <w:tblStyle w:val="3"/>
        <w:tblpPr w:leftFromText="180" w:rightFromText="180" w:vertAnchor="text" w:horzAnchor="page" w:tblpX="820" w:tblpY="78"/>
        <w:tblOverlap w:val="never"/>
        <w:tblW w:w="5553" w:type="pct"/>
        <w:tblInd w:w="0" w:type="dxa"/>
        <w:tblLayout w:type="fixed"/>
        <w:tblCellMar>
          <w:top w:w="0" w:type="dxa"/>
          <w:left w:w="108" w:type="dxa"/>
          <w:bottom w:w="0" w:type="dxa"/>
          <w:right w:w="108" w:type="dxa"/>
        </w:tblCellMar>
      </w:tblPr>
      <w:tblGrid>
        <w:gridCol w:w="1432"/>
        <w:gridCol w:w="3356"/>
        <w:gridCol w:w="1043"/>
        <w:gridCol w:w="1417"/>
        <w:gridCol w:w="8494"/>
      </w:tblGrid>
      <w:tr w14:paraId="69586FCB">
        <w:tblPrEx>
          <w:tblCellMar>
            <w:top w:w="0" w:type="dxa"/>
            <w:left w:w="108" w:type="dxa"/>
            <w:bottom w:w="0" w:type="dxa"/>
            <w:right w:w="108" w:type="dxa"/>
          </w:tblCellMar>
        </w:tblPrEx>
        <w:trPr>
          <w:trHeight w:val="512" w:hRule="atLeast"/>
          <w:tblHeader/>
        </w:trPr>
        <w:tc>
          <w:tcPr>
            <w:tcW w:w="454" w:type="pct"/>
            <w:tcBorders>
              <w:top w:val="single" w:color="000000" w:sz="4" w:space="0"/>
              <w:left w:val="single" w:color="000000" w:sz="4" w:space="0"/>
              <w:bottom w:val="single" w:color="auto" w:sz="4" w:space="0"/>
              <w:right w:val="single" w:color="000000" w:sz="4" w:space="0"/>
            </w:tcBorders>
            <w:noWrap/>
            <w:vAlign w:val="center"/>
          </w:tcPr>
          <w:p w14:paraId="3273932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招聘岗位</w:t>
            </w:r>
          </w:p>
        </w:tc>
        <w:tc>
          <w:tcPr>
            <w:tcW w:w="1065" w:type="pct"/>
            <w:tcBorders>
              <w:top w:val="single" w:color="000000" w:sz="4" w:space="0"/>
              <w:left w:val="single" w:color="000000" w:sz="4" w:space="0"/>
              <w:bottom w:val="single" w:color="auto" w:sz="4" w:space="0"/>
              <w:right w:val="single" w:color="000000" w:sz="4" w:space="0"/>
            </w:tcBorders>
            <w:noWrap w:val="0"/>
            <w:vAlign w:val="center"/>
          </w:tcPr>
          <w:p w14:paraId="2801749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任职资格</w:t>
            </w:r>
          </w:p>
        </w:tc>
        <w:tc>
          <w:tcPr>
            <w:tcW w:w="331" w:type="pct"/>
            <w:tcBorders>
              <w:top w:val="single" w:color="000000" w:sz="4" w:space="0"/>
              <w:left w:val="single" w:color="000000" w:sz="4" w:space="0"/>
              <w:bottom w:val="single" w:color="auto" w:sz="4" w:space="0"/>
              <w:right w:val="single" w:color="000000" w:sz="4" w:space="0"/>
            </w:tcBorders>
            <w:noWrap w:val="0"/>
            <w:vAlign w:val="center"/>
          </w:tcPr>
          <w:p w14:paraId="3C769D2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kern w:val="0"/>
                <w:sz w:val="28"/>
                <w:szCs w:val="28"/>
                <w:highlight w:val="none"/>
                <w:lang w:val="en-US" w:eastAsia="zh-CN" w:bidi="ar"/>
              </w:rPr>
              <w:t>招聘人数</w:t>
            </w:r>
          </w:p>
        </w:tc>
        <w:tc>
          <w:tcPr>
            <w:tcW w:w="450" w:type="pct"/>
            <w:tcBorders>
              <w:top w:val="single" w:color="000000" w:sz="4" w:space="0"/>
              <w:left w:val="single" w:color="000000" w:sz="4" w:space="0"/>
              <w:bottom w:val="single" w:color="auto" w:sz="4" w:space="0"/>
              <w:right w:val="single" w:color="000000" w:sz="4" w:space="0"/>
            </w:tcBorders>
            <w:noWrap w:val="0"/>
            <w:vAlign w:val="center"/>
          </w:tcPr>
          <w:p w14:paraId="0869FD7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Cs/>
                <w:color w:val="auto"/>
                <w:kern w:val="0"/>
                <w:sz w:val="28"/>
                <w:szCs w:val="28"/>
                <w:highlight w:val="none"/>
                <w:lang w:val="en-US" w:eastAsia="zh-CN" w:bidi="ar"/>
              </w:rPr>
              <w:t>综合待遇</w:t>
            </w:r>
          </w:p>
        </w:tc>
        <w:tc>
          <w:tcPr>
            <w:tcW w:w="2697" w:type="pct"/>
            <w:tcBorders>
              <w:top w:val="single" w:color="000000" w:sz="4" w:space="0"/>
              <w:left w:val="single" w:color="000000" w:sz="4" w:space="0"/>
              <w:bottom w:val="single" w:color="auto" w:sz="4" w:space="0"/>
              <w:right w:val="single" w:color="000000" w:sz="4" w:space="0"/>
            </w:tcBorders>
            <w:noWrap w:val="0"/>
            <w:vAlign w:val="center"/>
          </w:tcPr>
          <w:p w14:paraId="13F5872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kern w:val="0"/>
                <w:sz w:val="28"/>
                <w:szCs w:val="28"/>
                <w:highlight w:val="none"/>
                <w:lang w:val="en-US" w:eastAsia="zh-CN" w:bidi="ar"/>
              </w:rPr>
              <w:t>岗位职责</w:t>
            </w:r>
          </w:p>
        </w:tc>
      </w:tr>
      <w:tr w14:paraId="5AC2DC2A">
        <w:tblPrEx>
          <w:tblCellMar>
            <w:top w:w="0" w:type="dxa"/>
            <w:left w:w="108" w:type="dxa"/>
            <w:bottom w:w="0" w:type="dxa"/>
            <w:right w:w="108" w:type="dxa"/>
          </w:tblCellMar>
        </w:tblPrEx>
        <w:trPr>
          <w:cantSplit/>
          <w:trHeight w:val="3320" w:hRule="atLeast"/>
        </w:trPr>
        <w:tc>
          <w:tcPr>
            <w:tcW w:w="454" w:type="pct"/>
            <w:tcBorders>
              <w:top w:val="single" w:color="auto" w:sz="4" w:space="0"/>
              <w:left w:val="single" w:color="auto" w:sz="4" w:space="0"/>
              <w:bottom w:val="single" w:color="auto" w:sz="4" w:space="0"/>
              <w:right w:val="single" w:color="auto" w:sz="4" w:space="0"/>
            </w:tcBorders>
            <w:noWrap w:val="0"/>
            <w:vAlign w:val="center"/>
          </w:tcPr>
          <w:p w14:paraId="4A2AEF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施工员（公路或市政）</w:t>
            </w:r>
          </w:p>
        </w:tc>
        <w:tc>
          <w:tcPr>
            <w:tcW w:w="1065" w:type="pct"/>
            <w:tcBorders>
              <w:top w:val="single" w:color="auto" w:sz="4" w:space="0"/>
              <w:left w:val="single" w:color="auto" w:sz="4" w:space="0"/>
              <w:bottom w:val="single" w:color="auto" w:sz="4" w:space="0"/>
              <w:right w:val="single" w:color="auto" w:sz="4" w:space="0"/>
            </w:tcBorders>
            <w:noWrap/>
            <w:vAlign w:val="center"/>
          </w:tcPr>
          <w:p w14:paraId="2BB77E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1.45周岁以下，大专及以上学历，建筑工程类相关专业；</w:t>
            </w:r>
          </w:p>
          <w:p w14:paraId="70CCE0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2.5年以上施工单位工作经验；能读懂施工图纸、理解设计意图，熟悉公路、市政工程质量验收规范及流程；</w:t>
            </w:r>
          </w:p>
          <w:p w14:paraId="67EC04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3.熟练使用RTK、全站仪、水准仪等测量仪器及CAD绘图软件；</w:t>
            </w:r>
          </w:p>
          <w:p w14:paraId="7E0EFB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仿宋_GB2312" w:hAnsi="仿宋_GB2312" w:eastAsia="仿宋_GB2312" w:cs="仿宋_GB2312"/>
                <w:bCs/>
                <w:color w:val="auto"/>
                <w:kern w:val="0"/>
                <w:sz w:val="24"/>
                <w:szCs w:val="24"/>
                <w:highlight w:val="none"/>
                <w:lang w:val="en-US" w:eastAsia="zh-CN" w:bidi="ar"/>
              </w:rPr>
            </w:pPr>
            <w:r>
              <w:rPr>
                <w:rFonts w:hint="eastAsia" w:ascii="仿宋_GB2312" w:hAnsi="仿宋_GB2312" w:eastAsia="仿宋_GB2312" w:cs="仿宋_GB2312"/>
                <w:sz w:val="24"/>
                <w:szCs w:val="24"/>
                <w:highlight w:val="none"/>
                <w:lang w:val="en-US" w:eastAsia="zh-CN"/>
              </w:rPr>
              <w:t>4.持有公路或市政施工员证书（江西省内)；具备良好沟通协调能力和团队管理能力，能吃苦耐劳。</w:t>
            </w:r>
          </w:p>
        </w:tc>
        <w:tc>
          <w:tcPr>
            <w:tcW w:w="331" w:type="pct"/>
            <w:tcBorders>
              <w:top w:val="single" w:color="auto" w:sz="4" w:space="0"/>
              <w:left w:val="single" w:color="auto" w:sz="4" w:space="0"/>
              <w:bottom w:val="single" w:color="auto" w:sz="4" w:space="0"/>
              <w:right w:val="single" w:color="auto" w:sz="4" w:space="0"/>
            </w:tcBorders>
            <w:noWrap w:val="0"/>
            <w:vAlign w:val="center"/>
          </w:tcPr>
          <w:p w14:paraId="277768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1人</w:t>
            </w:r>
          </w:p>
        </w:tc>
        <w:tc>
          <w:tcPr>
            <w:tcW w:w="450" w:type="pct"/>
            <w:tcBorders>
              <w:top w:val="single" w:color="auto" w:sz="4" w:space="0"/>
              <w:left w:val="single" w:color="auto" w:sz="4" w:space="0"/>
              <w:bottom w:val="single" w:color="auto" w:sz="4" w:space="0"/>
              <w:right w:val="single" w:color="auto" w:sz="4" w:space="0"/>
            </w:tcBorders>
            <w:noWrap w:val="0"/>
            <w:vAlign w:val="center"/>
          </w:tcPr>
          <w:p w14:paraId="6FB378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u w:val="none"/>
                <w:lang w:val="en-US" w:eastAsia="zh-CN" w:bidi="ar-SA"/>
              </w:rPr>
              <w:t>8.4万元/年</w:t>
            </w:r>
            <w:r>
              <w:rPr>
                <w:rFonts w:hint="eastAsia" w:ascii="仿宋_GB2312" w:hAnsi="仿宋_GB2312" w:eastAsia="仿宋_GB2312" w:cs="仿宋_GB2312"/>
                <w:color w:val="auto"/>
                <w:kern w:val="2"/>
                <w:sz w:val="24"/>
                <w:szCs w:val="24"/>
                <w:highlight w:val="none"/>
                <w:lang w:val="en-US" w:eastAsia="zh-CN" w:bidi="ar-SA"/>
              </w:rPr>
              <w:t>（含个人四险部分）</w:t>
            </w:r>
          </w:p>
        </w:tc>
        <w:tc>
          <w:tcPr>
            <w:tcW w:w="2697" w:type="pct"/>
            <w:tcBorders>
              <w:top w:val="single" w:color="auto" w:sz="4" w:space="0"/>
              <w:left w:val="single" w:color="auto" w:sz="4" w:space="0"/>
              <w:bottom w:val="single" w:color="auto" w:sz="4" w:space="0"/>
              <w:right w:val="single" w:color="auto" w:sz="4" w:space="0"/>
            </w:tcBorders>
            <w:noWrap w:val="0"/>
            <w:vAlign w:val="center"/>
          </w:tcPr>
          <w:p w14:paraId="645A9C31">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1.严格按国家、行业颁布的现行有关标准，规范、规程、项目质量计划、施工组织设计，特殊、关键工序作业指导，设计图纸、图纸会审纪要、设计变更、技术核定等组织施工。</w:t>
            </w:r>
          </w:p>
          <w:p w14:paraId="53E25AEB">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2.负责向班组操作人员进行技术、质量、安全交底，确保按图施工，并做好记录。</w:t>
            </w:r>
          </w:p>
          <w:p w14:paraId="6412ECBC">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3.按照施工组织设计要求安排好各专业的配套作业和各工种之间的立体交叉作业。做好工序交接记录，确保完成形象进度计划。</w:t>
            </w:r>
          </w:p>
          <w:p w14:paraId="463DFC7D">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4.搞好劳动优化组合，按时按量签发工程任务单和结算实物工作量，协助资料员收集整理经济技术资料和工程竣工资料。</w:t>
            </w:r>
          </w:p>
          <w:p w14:paraId="55589551">
            <w:pPr>
              <w:keepNext w:val="0"/>
              <w:keepLines w:val="0"/>
              <w:pageBreakBefore w:val="0"/>
              <w:widowControl/>
              <w:kinsoku/>
              <w:wordWrap/>
              <w:overflowPunct/>
              <w:topLinePunct w:val="0"/>
              <w:autoSpaceDE/>
              <w:autoSpaceDN/>
              <w:bidi w:val="0"/>
              <w:adjustRightInd/>
              <w:snapToGrid/>
              <w:spacing w:line="240" w:lineRule="exact"/>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5.及时办理隐蔽工程记录和签证，逐日填写好施工日志。</w:t>
            </w:r>
          </w:p>
          <w:p w14:paraId="3146E821">
            <w:pPr>
              <w:keepNext w:val="0"/>
              <w:keepLines w:val="0"/>
              <w:pageBreakBefore w:val="0"/>
              <w:widowControl/>
              <w:kinsoku/>
              <w:wordWrap/>
              <w:overflowPunct/>
              <w:topLinePunct w:val="0"/>
              <w:autoSpaceDE/>
              <w:autoSpaceDN/>
              <w:bidi w:val="0"/>
              <w:adjustRightInd/>
              <w:snapToGrid/>
              <w:spacing w:line="240" w:lineRule="exact"/>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6.协助有关单位和部门做好单位工程、分部分项工程、检验批质量验收工作。</w:t>
            </w:r>
          </w:p>
          <w:p w14:paraId="5EBB428C">
            <w:pPr>
              <w:keepNext w:val="0"/>
              <w:keepLines w:val="0"/>
              <w:pageBreakBefore w:val="0"/>
              <w:widowControl/>
              <w:kinsoku/>
              <w:wordWrap/>
              <w:overflowPunct/>
              <w:topLinePunct w:val="0"/>
              <w:autoSpaceDE/>
              <w:autoSpaceDN/>
              <w:bidi w:val="0"/>
              <w:adjustRightInd/>
              <w:snapToGrid/>
              <w:spacing w:line="240" w:lineRule="exact"/>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7.负责施工现场职业健康安全和环境的管理，场地清洁，材料堆放有序，确保文明施工。</w:t>
            </w:r>
          </w:p>
          <w:p w14:paraId="77653929">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8.与其他参建各方沟通，团结协作完成建设工作。</w:t>
            </w:r>
          </w:p>
          <w:p w14:paraId="15A5225E">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both"/>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sz w:val="24"/>
                <w:szCs w:val="24"/>
                <w:highlight w:val="none"/>
                <w:lang w:val="en-US" w:eastAsia="zh-CN"/>
              </w:rPr>
              <w:t>9.完成项目部安排的其他工作。</w:t>
            </w:r>
          </w:p>
        </w:tc>
      </w:tr>
      <w:tr w14:paraId="65D401CD">
        <w:tblPrEx>
          <w:tblCellMar>
            <w:top w:w="0" w:type="dxa"/>
            <w:left w:w="108" w:type="dxa"/>
            <w:bottom w:w="0" w:type="dxa"/>
            <w:right w:w="108" w:type="dxa"/>
          </w:tblCellMar>
        </w:tblPrEx>
        <w:trPr>
          <w:cantSplit/>
          <w:trHeight w:val="139" w:hRule="atLeast"/>
        </w:trPr>
        <w:tc>
          <w:tcPr>
            <w:tcW w:w="454" w:type="pct"/>
            <w:tcBorders>
              <w:top w:val="single" w:color="auto" w:sz="4" w:space="0"/>
              <w:left w:val="single" w:color="auto" w:sz="4" w:space="0"/>
              <w:bottom w:val="single" w:color="auto" w:sz="4" w:space="0"/>
              <w:right w:val="single" w:color="auto" w:sz="4" w:space="0"/>
            </w:tcBorders>
            <w:noWrap w:val="0"/>
            <w:vAlign w:val="center"/>
          </w:tcPr>
          <w:p w14:paraId="703347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sz w:val="24"/>
                <w:szCs w:val="24"/>
                <w:lang w:val="en-US" w:eastAsia="zh-CN"/>
              </w:rPr>
              <w:t>土建施工员</w:t>
            </w:r>
          </w:p>
        </w:tc>
        <w:tc>
          <w:tcPr>
            <w:tcW w:w="1065" w:type="pct"/>
            <w:tcBorders>
              <w:top w:val="single" w:color="auto" w:sz="4" w:space="0"/>
              <w:left w:val="single" w:color="auto" w:sz="4" w:space="0"/>
              <w:bottom w:val="single" w:color="auto" w:sz="4" w:space="0"/>
              <w:right w:val="single" w:color="auto" w:sz="4" w:space="0"/>
            </w:tcBorders>
            <w:noWrap/>
            <w:vAlign w:val="center"/>
          </w:tcPr>
          <w:p w14:paraId="5AC84F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1.45周岁以下，大专及以上学历，建筑工程类相关专业；</w:t>
            </w:r>
          </w:p>
          <w:p w14:paraId="52EA2A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2.5年以上施工单位工作经验；能读懂施工图纸、理解设计意图，熟悉房屋建筑工程质量验收规范及流程；</w:t>
            </w:r>
          </w:p>
          <w:p w14:paraId="62BB2E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3.熟练使用RTK、全站仪、垂准仪等测量仪器及CAD绘图软件；</w:t>
            </w:r>
          </w:p>
          <w:p w14:paraId="2225BB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bCs/>
                <w:color w:val="auto"/>
                <w:kern w:val="0"/>
                <w:sz w:val="24"/>
                <w:szCs w:val="24"/>
                <w:highlight w:val="none"/>
                <w:lang w:val="en-US" w:eastAsia="zh-CN" w:bidi="ar"/>
              </w:rPr>
            </w:pPr>
            <w:r>
              <w:rPr>
                <w:rFonts w:hint="eastAsia" w:ascii="仿宋_GB2312" w:hAnsi="仿宋_GB2312" w:eastAsia="仿宋_GB2312" w:cs="仿宋_GB2312"/>
                <w:sz w:val="24"/>
                <w:szCs w:val="24"/>
                <w:lang w:val="en-US" w:eastAsia="zh-CN"/>
              </w:rPr>
              <w:t>4.持有</w:t>
            </w:r>
            <w:r>
              <w:rPr>
                <w:rFonts w:hint="eastAsia" w:ascii="仿宋_GB2312" w:hAnsi="仿宋_GB2312" w:eastAsia="仿宋_GB2312" w:cs="仿宋_GB2312"/>
                <w:sz w:val="24"/>
                <w:szCs w:val="24"/>
                <w:highlight w:val="none"/>
                <w:lang w:val="en-US" w:eastAsia="zh-CN"/>
              </w:rPr>
              <w:t>江西省内</w:t>
            </w:r>
            <w:r>
              <w:rPr>
                <w:rFonts w:hint="eastAsia" w:ascii="仿宋_GB2312" w:hAnsi="仿宋_GB2312" w:eastAsia="仿宋_GB2312" w:cs="仿宋_GB2312"/>
                <w:sz w:val="24"/>
                <w:szCs w:val="24"/>
                <w:lang w:val="en-US" w:eastAsia="zh-CN"/>
              </w:rPr>
              <w:t>建筑工程施工员证书；具备良好沟通协调能力和团队管理能力，能吃苦耐劳。</w:t>
            </w:r>
          </w:p>
        </w:tc>
        <w:tc>
          <w:tcPr>
            <w:tcW w:w="331" w:type="pct"/>
            <w:tcBorders>
              <w:top w:val="single" w:color="auto" w:sz="4" w:space="0"/>
              <w:left w:val="single" w:color="auto" w:sz="4" w:space="0"/>
              <w:bottom w:val="single" w:color="auto" w:sz="4" w:space="0"/>
              <w:right w:val="single" w:color="auto" w:sz="4" w:space="0"/>
            </w:tcBorders>
            <w:noWrap w:val="0"/>
            <w:vAlign w:val="center"/>
          </w:tcPr>
          <w:p w14:paraId="4C2888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1人</w:t>
            </w:r>
          </w:p>
        </w:tc>
        <w:tc>
          <w:tcPr>
            <w:tcW w:w="450" w:type="pct"/>
            <w:tcBorders>
              <w:top w:val="single" w:color="auto" w:sz="4" w:space="0"/>
              <w:left w:val="single" w:color="auto" w:sz="4" w:space="0"/>
              <w:bottom w:val="single" w:color="auto" w:sz="4" w:space="0"/>
              <w:right w:val="single" w:color="auto" w:sz="4" w:space="0"/>
            </w:tcBorders>
            <w:noWrap w:val="0"/>
            <w:vAlign w:val="center"/>
          </w:tcPr>
          <w:p w14:paraId="1A2FB5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8.4万元/年（含个人四险部分）</w:t>
            </w:r>
          </w:p>
        </w:tc>
        <w:tc>
          <w:tcPr>
            <w:tcW w:w="2697" w:type="pct"/>
            <w:tcBorders>
              <w:top w:val="single" w:color="auto" w:sz="4" w:space="0"/>
              <w:left w:val="single" w:color="auto" w:sz="4" w:space="0"/>
              <w:bottom w:val="single" w:color="auto" w:sz="4" w:space="0"/>
              <w:right w:val="single" w:color="auto" w:sz="4" w:space="0"/>
            </w:tcBorders>
            <w:noWrap w:val="0"/>
            <w:vAlign w:val="center"/>
          </w:tcPr>
          <w:p w14:paraId="339FAF0E">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1.严格按国家、行业颁布的现行有关标准，规范、规程、项目质量计划、施工组织设计，特殊、关键工序作业指导，设计图纸、图纸会审纪要、设计变更、技术核定等组织施工。</w:t>
            </w:r>
          </w:p>
          <w:p w14:paraId="6C17D0B7">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2.负责向班组操作人员进行技术、质量、安全交底，确保按图施工，并做好记录。</w:t>
            </w:r>
          </w:p>
          <w:p w14:paraId="7ADF1358">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3.按照施工组织设计要求安排好各专业的配套作业和各工种之间的立体交叉作业。做好工序交接记录，确保完成形象进度计划。</w:t>
            </w:r>
          </w:p>
          <w:p w14:paraId="56F6A3B4">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4.搞好劳动优化组合，按时按量签发工程任务单和结算实物工作量，协助资料员收集整理经济技术资料和工程竣工资料。</w:t>
            </w:r>
          </w:p>
          <w:p w14:paraId="05FBF0E3">
            <w:pPr>
              <w:keepNext w:val="0"/>
              <w:keepLines w:val="0"/>
              <w:pageBreakBefore w:val="0"/>
              <w:widowControl/>
              <w:kinsoku/>
              <w:wordWrap/>
              <w:overflowPunct/>
              <w:topLinePunct w:val="0"/>
              <w:autoSpaceDE/>
              <w:autoSpaceDN/>
              <w:bidi w:val="0"/>
              <w:adjustRightInd/>
              <w:snapToGrid/>
              <w:spacing w:line="240" w:lineRule="exact"/>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5.及时办理隐蔽工程记录和签证，逐日填写好施工日志。</w:t>
            </w:r>
          </w:p>
          <w:p w14:paraId="72542C9C">
            <w:pPr>
              <w:keepNext w:val="0"/>
              <w:keepLines w:val="0"/>
              <w:pageBreakBefore w:val="0"/>
              <w:widowControl/>
              <w:kinsoku/>
              <w:wordWrap/>
              <w:overflowPunct/>
              <w:topLinePunct w:val="0"/>
              <w:autoSpaceDE/>
              <w:autoSpaceDN/>
              <w:bidi w:val="0"/>
              <w:adjustRightInd/>
              <w:snapToGrid/>
              <w:spacing w:line="240" w:lineRule="exact"/>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6.协助有关单位和部门做好单位工程、分部分项工程、检验批质量验收工作。</w:t>
            </w:r>
          </w:p>
          <w:p w14:paraId="4DE7A802">
            <w:pPr>
              <w:keepNext w:val="0"/>
              <w:keepLines w:val="0"/>
              <w:pageBreakBefore w:val="0"/>
              <w:widowControl/>
              <w:kinsoku/>
              <w:wordWrap/>
              <w:overflowPunct/>
              <w:topLinePunct w:val="0"/>
              <w:autoSpaceDE/>
              <w:autoSpaceDN/>
              <w:bidi w:val="0"/>
              <w:adjustRightInd/>
              <w:snapToGrid/>
              <w:spacing w:line="240" w:lineRule="exact"/>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7.负责施工现场职业健康安全和环境的管理，场地清洁，材料堆放有序，确保文明施工。</w:t>
            </w:r>
          </w:p>
          <w:p w14:paraId="0F70055E">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8.与其他参建各方沟通，团结协作完成建设工作。</w:t>
            </w:r>
          </w:p>
          <w:p w14:paraId="543730BA">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both"/>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sz w:val="24"/>
                <w:szCs w:val="24"/>
                <w:lang w:val="en-US" w:eastAsia="zh-CN"/>
              </w:rPr>
              <w:t>9.完成项目部安排的其他工作。</w:t>
            </w:r>
          </w:p>
        </w:tc>
      </w:tr>
      <w:tr w14:paraId="7F21CBFE">
        <w:tblPrEx>
          <w:tblCellMar>
            <w:top w:w="0" w:type="dxa"/>
            <w:left w:w="108" w:type="dxa"/>
            <w:bottom w:w="0" w:type="dxa"/>
            <w:right w:w="108" w:type="dxa"/>
          </w:tblCellMar>
        </w:tblPrEx>
        <w:trPr>
          <w:cantSplit/>
          <w:trHeight w:val="151" w:hRule="atLeast"/>
        </w:trPr>
        <w:tc>
          <w:tcPr>
            <w:tcW w:w="454" w:type="pct"/>
            <w:tcBorders>
              <w:top w:val="single" w:color="auto" w:sz="4" w:space="0"/>
              <w:left w:val="single" w:color="auto" w:sz="4" w:space="0"/>
              <w:bottom w:val="single" w:color="auto" w:sz="4" w:space="0"/>
              <w:right w:val="single" w:color="auto" w:sz="4" w:space="0"/>
            </w:tcBorders>
            <w:noWrap w:val="0"/>
            <w:vAlign w:val="center"/>
          </w:tcPr>
          <w:p w14:paraId="007E30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安全员（公路或市政）</w:t>
            </w:r>
          </w:p>
        </w:tc>
        <w:tc>
          <w:tcPr>
            <w:tcW w:w="1065" w:type="pct"/>
            <w:tcBorders>
              <w:top w:val="single" w:color="auto" w:sz="4" w:space="0"/>
              <w:left w:val="single" w:color="auto" w:sz="4" w:space="0"/>
              <w:bottom w:val="single" w:color="auto" w:sz="4" w:space="0"/>
              <w:right w:val="single" w:color="auto" w:sz="4" w:space="0"/>
            </w:tcBorders>
            <w:noWrap/>
            <w:vAlign w:val="center"/>
          </w:tcPr>
          <w:p w14:paraId="06ACAFBF">
            <w:pPr>
              <w:keepNext w:val="0"/>
              <w:keepLines w:val="0"/>
              <w:pageBreakBefore w:val="0"/>
              <w:widowControl/>
              <w:numPr>
                <w:ilvl w:val="0"/>
                <w:numId w:val="0"/>
              </w:numPr>
              <w:kinsoku/>
              <w:wordWrap/>
              <w:overflowPunct/>
              <w:topLinePunct w:val="0"/>
              <w:autoSpaceDE/>
              <w:autoSpaceDN/>
              <w:bidi w:val="0"/>
              <w:adjustRightInd/>
              <w:snapToGrid/>
              <w:spacing w:line="240" w:lineRule="exact"/>
              <w:jc w:val="left"/>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1.45周岁以下，大专及以上学历，公路或市政工程类相关专业；</w:t>
            </w:r>
          </w:p>
          <w:p w14:paraId="583D70AD">
            <w:pPr>
              <w:keepNext w:val="0"/>
              <w:keepLines w:val="0"/>
              <w:pageBreakBefore w:val="0"/>
              <w:widowControl/>
              <w:numPr>
                <w:ilvl w:val="0"/>
                <w:numId w:val="0"/>
              </w:numPr>
              <w:kinsoku/>
              <w:wordWrap/>
              <w:overflowPunct/>
              <w:topLinePunct w:val="0"/>
              <w:autoSpaceDE/>
              <w:autoSpaceDN/>
              <w:bidi w:val="0"/>
              <w:adjustRightInd/>
              <w:snapToGrid/>
              <w:spacing w:line="240" w:lineRule="exact"/>
              <w:jc w:val="left"/>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2.5年以上相关工作经验；熟悉安全验收规范和各工种安全操作规程；</w:t>
            </w:r>
          </w:p>
          <w:p w14:paraId="4501453F">
            <w:pPr>
              <w:keepNext w:val="0"/>
              <w:keepLines w:val="0"/>
              <w:pageBreakBefore w:val="0"/>
              <w:widowControl/>
              <w:numPr>
                <w:ilvl w:val="0"/>
                <w:numId w:val="0"/>
              </w:numPr>
              <w:kinsoku/>
              <w:wordWrap/>
              <w:overflowPunct/>
              <w:topLinePunct w:val="0"/>
              <w:autoSpaceDE/>
              <w:autoSpaceDN/>
              <w:bidi w:val="0"/>
              <w:adjustRightInd/>
              <w:snapToGrid/>
              <w:spacing w:line="240" w:lineRule="exact"/>
              <w:jc w:val="left"/>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3.持有江西省内公路或市政安全员C类证书；</w:t>
            </w:r>
          </w:p>
          <w:p w14:paraId="298540B7">
            <w:pPr>
              <w:keepNext w:val="0"/>
              <w:keepLines w:val="0"/>
              <w:pageBreakBefore w:val="0"/>
              <w:widowControl/>
              <w:numPr>
                <w:ilvl w:val="0"/>
                <w:numId w:val="0"/>
              </w:numPr>
              <w:kinsoku/>
              <w:wordWrap/>
              <w:overflowPunct/>
              <w:topLinePunct w:val="0"/>
              <w:autoSpaceDE/>
              <w:autoSpaceDN/>
              <w:bidi w:val="0"/>
              <w:adjustRightInd/>
              <w:snapToGrid/>
              <w:spacing w:line="240" w:lineRule="exact"/>
              <w:jc w:val="left"/>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4.具备良好沟通协调能力和团队管理能力，能吃苦耐劳。</w:t>
            </w:r>
          </w:p>
          <w:p w14:paraId="2606D9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kern w:val="2"/>
                <w:sz w:val="24"/>
                <w:szCs w:val="24"/>
                <w:vertAlign w:val="baseline"/>
                <w:lang w:val="en-US" w:eastAsia="zh-CN" w:bidi="ar-SA"/>
              </w:rPr>
            </w:pPr>
          </w:p>
        </w:tc>
        <w:tc>
          <w:tcPr>
            <w:tcW w:w="331" w:type="pct"/>
            <w:tcBorders>
              <w:top w:val="single" w:color="auto" w:sz="4" w:space="0"/>
              <w:left w:val="single" w:color="auto" w:sz="4" w:space="0"/>
              <w:bottom w:val="single" w:color="auto" w:sz="4" w:space="0"/>
              <w:right w:val="single" w:color="auto" w:sz="4" w:space="0"/>
            </w:tcBorders>
            <w:noWrap w:val="0"/>
            <w:vAlign w:val="center"/>
          </w:tcPr>
          <w:p w14:paraId="7A5464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1</w:t>
            </w:r>
            <w:bookmarkStart w:id="0" w:name="_GoBack"/>
            <w:bookmarkEnd w:id="0"/>
            <w:r>
              <w:rPr>
                <w:rFonts w:hint="eastAsia" w:ascii="仿宋_GB2312" w:hAnsi="仿宋_GB2312" w:eastAsia="仿宋_GB2312" w:cs="仿宋_GB2312"/>
                <w:color w:val="auto"/>
                <w:kern w:val="2"/>
                <w:sz w:val="24"/>
                <w:szCs w:val="24"/>
                <w:highlight w:val="none"/>
                <w:lang w:val="en-US" w:eastAsia="zh-CN" w:bidi="ar-SA"/>
              </w:rPr>
              <w:t>人</w:t>
            </w:r>
          </w:p>
        </w:tc>
        <w:tc>
          <w:tcPr>
            <w:tcW w:w="450" w:type="pct"/>
            <w:tcBorders>
              <w:top w:val="single" w:color="auto" w:sz="4" w:space="0"/>
              <w:left w:val="single" w:color="auto" w:sz="4" w:space="0"/>
              <w:bottom w:val="single" w:color="auto" w:sz="4" w:space="0"/>
              <w:right w:val="single" w:color="auto" w:sz="4" w:space="0"/>
            </w:tcBorders>
            <w:noWrap w:val="0"/>
            <w:vAlign w:val="center"/>
          </w:tcPr>
          <w:p w14:paraId="33B3C7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kern w:val="2"/>
                <w:sz w:val="21"/>
                <w:szCs w:val="24"/>
                <w:lang w:val="en-US" w:eastAsia="zh-CN" w:bidi="ar-SA"/>
              </w:rPr>
            </w:pPr>
            <w:r>
              <w:rPr>
                <w:rFonts w:hint="eastAsia" w:ascii="仿宋_GB2312" w:hAnsi="仿宋_GB2312" w:eastAsia="仿宋_GB2312" w:cs="仿宋_GB2312"/>
                <w:color w:val="auto"/>
                <w:kern w:val="2"/>
                <w:sz w:val="24"/>
                <w:szCs w:val="24"/>
                <w:highlight w:val="none"/>
                <w:lang w:val="en-US" w:eastAsia="zh-CN" w:bidi="ar-SA"/>
              </w:rPr>
              <w:t>8.4万元/年（含个人四险部分）</w:t>
            </w:r>
          </w:p>
        </w:tc>
        <w:tc>
          <w:tcPr>
            <w:tcW w:w="2697" w:type="pct"/>
            <w:tcBorders>
              <w:top w:val="single" w:color="auto" w:sz="4" w:space="0"/>
              <w:left w:val="single" w:color="auto" w:sz="4" w:space="0"/>
              <w:bottom w:val="single" w:color="auto" w:sz="4" w:space="0"/>
              <w:right w:val="single" w:color="auto" w:sz="4" w:space="0"/>
            </w:tcBorders>
            <w:noWrap w:val="0"/>
            <w:vAlign w:val="center"/>
          </w:tcPr>
          <w:p w14:paraId="22BD3BA9">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1.认真贯彻执行安全生产规章制度。做好工人的安全意识，安全技术知识，安全法规和安全用电、防物击、防坠落、防机伤、防中毒、防火灾等常识的教育以及新工人的安全知识培训工作。</w:t>
            </w:r>
          </w:p>
          <w:p w14:paraId="7C07C48A">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2.参加编制施工组织设计和单项的安全技术措施方案的编制，及时向班组进行详细的安全技术交底，并履行签字手续。</w:t>
            </w:r>
          </w:p>
          <w:p w14:paraId="7064C0BC">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3.坚持原则，秉公办事，深入现场每道工序，掌握安全重点部位的情况。不违章指挥，制止违章作业。</w:t>
            </w:r>
          </w:p>
          <w:p w14:paraId="18AD5B9E">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4.参加脚手架、模板工程、基坑支护、龙门吊、架桥机等设备安装及施工临时用电等危险性较大工程的验收工作，对检查验收不合格的，有权制止投入使用。</w:t>
            </w:r>
          </w:p>
          <w:p w14:paraId="3FB95675">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5.参加定期或不定期的安全检查。对事故隐患有权下发整改通知或局部停工通知书，并监督实施整改，按时复查验收。</w:t>
            </w:r>
          </w:p>
          <w:p w14:paraId="0D0CA6B6">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6.接受质量安全部的业务指导，负责安全技术资料的归档整理工作。</w:t>
            </w:r>
          </w:p>
          <w:p w14:paraId="615DB0DA">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7.行使项目安全奖罚权。</w:t>
            </w:r>
          </w:p>
          <w:p w14:paraId="5803565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8.负责主控的质量、职业健康安全与环境管理体系的过程控制。</w:t>
            </w:r>
          </w:p>
          <w:p w14:paraId="6C2AB149">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both"/>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highlight w:val="none"/>
                <w:lang w:val="en-US" w:eastAsia="zh-CN"/>
              </w:rPr>
              <w:t>9.监督检查特种作业人员持证上岗。</w:t>
            </w:r>
          </w:p>
        </w:tc>
      </w:tr>
      <w:tr w14:paraId="5365F9A5">
        <w:tblPrEx>
          <w:tblCellMar>
            <w:top w:w="0" w:type="dxa"/>
            <w:left w:w="108" w:type="dxa"/>
            <w:bottom w:w="0" w:type="dxa"/>
            <w:right w:w="108" w:type="dxa"/>
          </w:tblCellMar>
        </w:tblPrEx>
        <w:trPr>
          <w:cantSplit/>
          <w:trHeight w:val="195" w:hRule="atLeast"/>
        </w:trPr>
        <w:tc>
          <w:tcPr>
            <w:tcW w:w="454" w:type="pct"/>
            <w:tcBorders>
              <w:top w:val="single" w:color="auto" w:sz="4" w:space="0"/>
              <w:left w:val="single" w:color="auto" w:sz="4" w:space="0"/>
              <w:bottom w:val="single" w:color="auto" w:sz="4" w:space="0"/>
              <w:right w:val="single" w:color="auto" w:sz="4" w:space="0"/>
            </w:tcBorders>
            <w:noWrap w:val="0"/>
            <w:vAlign w:val="center"/>
          </w:tcPr>
          <w:p w14:paraId="1C9706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lang w:val="en-US" w:eastAsia="zh-CN"/>
              </w:rPr>
              <w:t>材料采购专员</w:t>
            </w:r>
          </w:p>
        </w:tc>
        <w:tc>
          <w:tcPr>
            <w:tcW w:w="1065" w:type="pct"/>
            <w:tcBorders>
              <w:top w:val="single" w:color="auto" w:sz="4" w:space="0"/>
              <w:left w:val="single" w:color="auto" w:sz="4" w:space="0"/>
              <w:bottom w:val="single" w:color="auto" w:sz="4" w:space="0"/>
              <w:right w:val="single" w:color="auto" w:sz="4" w:space="0"/>
            </w:tcBorders>
            <w:noWrap/>
            <w:vAlign w:val="top"/>
          </w:tcPr>
          <w:p w14:paraId="6F9CD3D5">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lang w:val="en-US" w:eastAsia="zh-CN"/>
              </w:rPr>
              <w:t>1.</w:t>
            </w:r>
            <w:r>
              <w:rPr>
                <w:rFonts w:hint="eastAsia" w:ascii="仿宋_GB2312" w:hAnsi="仿宋_GB2312" w:eastAsia="仿宋_GB2312" w:cs="仿宋_GB2312"/>
                <w:sz w:val="24"/>
                <w:szCs w:val="24"/>
                <w:highlight w:val="none"/>
                <w:vertAlign w:val="baseline"/>
                <w:lang w:val="en-US" w:eastAsia="zh-CN"/>
              </w:rPr>
              <w:t>遵纪守法、品行端正、廉洁自律；</w:t>
            </w:r>
          </w:p>
          <w:p w14:paraId="2069FF11">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2.大专以上学历，专业不限；4</w:t>
            </w:r>
            <w:r>
              <w:rPr>
                <w:rFonts w:hint="eastAsia" w:ascii="仿宋_GB2312" w:hAnsi="仿宋_GB2312" w:eastAsia="仿宋_GB2312" w:cs="仿宋_GB2312"/>
                <w:sz w:val="24"/>
                <w:szCs w:val="24"/>
                <w:highlight w:val="none"/>
                <w:vertAlign w:val="baseline"/>
                <w:lang w:val="en-US" w:eastAsia="zh-CN"/>
              </w:rPr>
              <w:t>5周岁以下；</w:t>
            </w:r>
          </w:p>
          <w:p w14:paraId="0A2C988C">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3.具备3年及以上施工现场采购管理及合同管理工作经验；</w:t>
            </w:r>
          </w:p>
          <w:p w14:paraId="1D6AFEFC">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4.熟悉施工管理流程，对接公司做好项目各阶段材料、劳务、专业分包等供应商的需求申报工作；</w:t>
            </w:r>
          </w:p>
          <w:p w14:paraId="24BDDDF4">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5.具备采购管理相关的法律、财务知识；</w:t>
            </w:r>
          </w:p>
          <w:p w14:paraId="795F932E">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6.熟悉使用各类办公软件；</w:t>
            </w:r>
          </w:p>
          <w:p w14:paraId="5C715780">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vertAlign w:val="baseline"/>
                <w:lang w:val="en-US" w:eastAsia="zh-CN"/>
              </w:rPr>
              <w:t>7.持有江西省政府采购从业人员培训合格证书者或八大员证书者优先；具有招标采购工作经验者优先。</w:t>
            </w:r>
          </w:p>
        </w:tc>
        <w:tc>
          <w:tcPr>
            <w:tcW w:w="331" w:type="pct"/>
            <w:tcBorders>
              <w:top w:val="single" w:color="auto" w:sz="4" w:space="0"/>
              <w:left w:val="single" w:color="auto" w:sz="4" w:space="0"/>
              <w:bottom w:val="single" w:color="auto" w:sz="4" w:space="0"/>
              <w:right w:val="single" w:color="auto" w:sz="4" w:space="0"/>
            </w:tcBorders>
            <w:noWrap w:val="0"/>
            <w:vAlign w:val="center"/>
          </w:tcPr>
          <w:p w14:paraId="1041747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sz w:val="24"/>
                <w:szCs w:val="24"/>
                <w:highlight w:val="none"/>
                <w:vertAlign w:val="baseline"/>
                <w:lang w:val="en-US" w:eastAsia="zh-CN"/>
              </w:rPr>
              <w:t>1人</w:t>
            </w:r>
          </w:p>
        </w:tc>
        <w:tc>
          <w:tcPr>
            <w:tcW w:w="450" w:type="pct"/>
            <w:tcBorders>
              <w:top w:val="single" w:color="auto" w:sz="4" w:space="0"/>
              <w:left w:val="single" w:color="auto" w:sz="4" w:space="0"/>
              <w:bottom w:val="single" w:color="auto" w:sz="4" w:space="0"/>
              <w:right w:val="single" w:color="auto" w:sz="4" w:space="0"/>
            </w:tcBorders>
            <w:noWrap w:val="0"/>
            <w:vAlign w:val="center"/>
          </w:tcPr>
          <w:p w14:paraId="5E1BFAB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6.6万元/年</w:t>
            </w:r>
          </w:p>
          <w:p w14:paraId="10A02AD5">
            <w:pPr>
              <w:pStyle w:val="2"/>
              <w:pageBreakBefore w:val="0"/>
              <w:kinsoku/>
              <w:wordWrap/>
              <w:overflowPunct/>
              <w:topLinePunct w:val="0"/>
              <w:autoSpaceDE/>
              <w:autoSpaceDN/>
              <w:bidi w:val="0"/>
              <w:adjustRightInd/>
              <w:snapToGrid/>
              <w:spacing w:line="260" w:lineRule="exac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（含个人四险部分</w:t>
            </w:r>
          </w:p>
        </w:tc>
        <w:tc>
          <w:tcPr>
            <w:tcW w:w="2697" w:type="pct"/>
            <w:tcBorders>
              <w:top w:val="single" w:color="auto" w:sz="4" w:space="0"/>
              <w:left w:val="single" w:color="auto" w:sz="4" w:space="0"/>
              <w:bottom w:val="single" w:color="auto" w:sz="4" w:space="0"/>
              <w:right w:val="single" w:color="auto" w:sz="4" w:space="0"/>
            </w:tcBorders>
            <w:noWrap w:val="0"/>
            <w:vAlign w:val="center"/>
          </w:tcPr>
          <w:p w14:paraId="504EA13E">
            <w:pPr>
              <w:keepNext w:val="0"/>
              <w:keepLines w:val="0"/>
              <w:pageBreakBefore w:val="0"/>
              <w:widowControl/>
              <w:numPr>
                <w:ilvl w:val="0"/>
                <w:numId w:val="0"/>
              </w:numPr>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1.对接公司做好项目建设各阶段建筑材料、劳务队伍、专业分包等供应商的需求申报与审核工作，及时参与与各类供应商考察工作。</w:t>
            </w:r>
          </w:p>
          <w:p w14:paraId="1D69C7DB">
            <w:pPr>
              <w:keepNext w:val="0"/>
              <w:keepLines w:val="0"/>
              <w:pageBreakBefore w:val="0"/>
              <w:widowControl/>
              <w:numPr>
                <w:ilvl w:val="0"/>
                <w:numId w:val="0"/>
              </w:numPr>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2.参与项目服务供应商的招标流程，参与招标文件的起草、发放，在项目部层面完成相关的合同管理工作。</w:t>
            </w:r>
          </w:p>
          <w:p w14:paraId="05580F23">
            <w:pPr>
              <w:keepNext w:val="0"/>
              <w:keepLines w:val="0"/>
              <w:pageBreakBefore w:val="0"/>
              <w:widowControl/>
              <w:numPr>
                <w:ilvl w:val="0"/>
                <w:numId w:val="0"/>
              </w:numPr>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3.配合公司完成项目建设所需的设备及主要材料、专业分包、劳务分包等询价、议价、定价工作。</w:t>
            </w:r>
          </w:p>
          <w:p w14:paraId="41E43566">
            <w:pPr>
              <w:keepNext w:val="0"/>
              <w:keepLines w:val="0"/>
              <w:pageBreakBefore w:val="0"/>
              <w:widowControl/>
              <w:numPr>
                <w:ilvl w:val="0"/>
                <w:numId w:val="0"/>
              </w:numPr>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4.负责填报项目建设中每月的资金支付计划表，并负责各类工程款的月度申报请款工作。</w:t>
            </w:r>
          </w:p>
          <w:p w14:paraId="15D34B42">
            <w:pPr>
              <w:keepNext w:val="0"/>
              <w:keepLines w:val="0"/>
              <w:pageBreakBefore w:val="0"/>
              <w:widowControl/>
              <w:numPr>
                <w:ilvl w:val="0"/>
                <w:numId w:val="0"/>
              </w:numPr>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5.合同起草谈判、履约跟踪、纠纷处理、保障项目进度。</w:t>
            </w:r>
          </w:p>
          <w:p w14:paraId="11E6786E">
            <w:pPr>
              <w:keepNext w:val="0"/>
              <w:keepLines w:val="0"/>
              <w:pageBreakBefore w:val="0"/>
              <w:widowControl/>
              <w:numPr>
                <w:ilvl w:val="0"/>
                <w:numId w:val="0"/>
              </w:numPr>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6.配合预算员完成项目成本管理的相关工作；</w:t>
            </w:r>
          </w:p>
          <w:p w14:paraId="6CB4DAD5">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vertAlign w:val="baseline"/>
                <w:lang w:val="en-US" w:eastAsia="zh-CN"/>
              </w:rPr>
              <w:t>7.及时完成领导交办的其他工作。</w:t>
            </w:r>
          </w:p>
        </w:tc>
      </w:tr>
      <w:tr w14:paraId="63C419C3">
        <w:tblPrEx>
          <w:tblCellMar>
            <w:top w:w="0" w:type="dxa"/>
            <w:left w:w="108" w:type="dxa"/>
            <w:bottom w:w="0" w:type="dxa"/>
            <w:right w:w="108" w:type="dxa"/>
          </w:tblCellMar>
        </w:tblPrEx>
        <w:trPr>
          <w:cantSplit/>
          <w:trHeight w:val="8294" w:hRule="atLeast"/>
        </w:trPr>
        <w:tc>
          <w:tcPr>
            <w:tcW w:w="454" w:type="pct"/>
            <w:tcBorders>
              <w:top w:val="single" w:color="auto" w:sz="4" w:space="0"/>
              <w:left w:val="single" w:color="auto" w:sz="4" w:space="0"/>
              <w:bottom w:val="single" w:color="auto" w:sz="4" w:space="0"/>
              <w:right w:val="single" w:color="auto" w:sz="4" w:space="0"/>
            </w:tcBorders>
            <w:noWrap w:val="0"/>
            <w:vAlign w:val="center"/>
          </w:tcPr>
          <w:p w14:paraId="35390D3C">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center"/>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招采专员</w:t>
            </w:r>
          </w:p>
        </w:tc>
        <w:tc>
          <w:tcPr>
            <w:tcW w:w="1065" w:type="pct"/>
            <w:tcBorders>
              <w:top w:val="single" w:color="auto" w:sz="4" w:space="0"/>
              <w:left w:val="single" w:color="auto" w:sz="4" w:space="0"/>
              <w:bottom w:val="single" w:color="auto" w:sz="4" w:space="0"/>
              <w:right w:val="single" w:color="auto" w:sz="4" w:space="0"/>
            </w:tcBorders>
            <w:noWrap/>
            <w:vAlign w:val="center"/>
          </w:tcPr>
          <w:p w14:paraId="4CF6CC0A">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both"/>
              <w:rPr>
                <w:rFonts w:hint="default"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1.</w:t>
            </w:r>
            <w:r>
              <w:rPr>
                <w:rFonts w:hint="eastAsia" w:ascii="仿宋_GB2312" w:hAnsi="仿宋_GB2312" w:eastAsia="仿宋_GB2312" w:cs="仿宋_GB2312"/>
                <w:kern w:val="2"/>
                <w:sz w:val="24"/>
                <w:szCs w:val="24"/>
                <w:highlight w:val="none"/>
                <w:lang w:val="en-US" w:eastAsia="zh-CN"/>
              </w:rPr>
              <w:t>45周岁以下，</w:t>
            </w:r>
            <w:r>
              <w:rPr>
                <w:rFonts w:hint="default" w:ascii="仿宋_GB2312" w:hAnsi="仿宋_GB2312" w:eastAsia="仿宋_GB2312" w:cs="仿宋_GB2312"/>
                <w:kern w:val="2"/>
                <w:sz w:val="24"/>
                <w:szCs w:val="24"/>
                <w:highlight w:val="none"/>
                <w:lang w:val="en-US" w:eastAsia="zh-CN"/>
              </w:rPr>
              <w:t>大专及以上学历</w:t>
            </w:r>
            <w:r>
              <w:rPr>
                <w:rFonts w:hint="eastAsia" w:ascii="仿宋_GB2312" w:hAnsi="仿宋_GB2312" w:eastAsia="仿宋_GB2312" w:cs="仿宋_GB2312"/>
                <w:kern w:val="2"/>
                <w:sz w:val="24"/>
                <w:szCs w:val="24"/>
                <w:highlight w:val="none"/>
                <w:lang w:val="en-US" w:eastAsia="zh-CN"/>
              </w:rPr>
              <w:t>；</w:t>
            </w:r>
            <w:r>
              <w:rPr>
                <w:rFonts w:hint="default" w:ascii="仿宋_GB2312" w:hAnsi="仿宋_GB2312" w:eastAsia="仿宋_GB2312" w:cs="仿宋_GB2312"/>
                <w:kern w:val="2"/>
                <w:sz w:val="24"/>
                <w:szCs w:val="24"/>
                <w:highlight w:val="none"/>
                <w:lang w:val="en-US" w:eastAsia="zh-CN"/>
              </w:rPr>
              <w:t>建筑工程、工程管理、土木工程</w:t>
            </w:r>
            <w:r>
              <w:rPr>
                <w:rFonts w:hint="eastAsia" w:ascii="仿宋_GB2312" w:hAnsi="仿宋_GB2312" w:eastAsia="仿宋_GB2312" w:cs="仿宋_GB2312"/>
                <w:kern w:val="2"/>
                <w:sz w:val="24"/>
                <w:szCs w:val="24"/>
                <w:highlight w:val="none"/>
                <w:lang w:val="en-US" w:eastAsia="zh-CN"/>
              </w:rPr>
              <w:t>等相关专业</w:t>
            </w:r>
            <w:r>
              <w:rPr>
                <w:rFonts w:hint="eastAsia" w:ascii="仿宋_GB2312" w:hAnsi="仿宋_GB2312" w:eastAsia="仿宋_GB2312" w:cs="仿宋_GB2312"/>
                <w:sz w:val="24"/>
                <w:szCs w:val="24"/>
                <w:highlight w:val="none"/>
                <w:vertAlign w:val="baseline"/>
                <w:lang w:val="en-US" w:eastAsia="zh-CN"/>
              </w:rPr>
              <w:t>；</w:t>
            </w:r>
          </w:p>
          <w:p w14:paraId="3CB747D8">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both"/>
              <w:rPr>
                <w:rFonts w:hint="default"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2.</w:t>
            </w:r>
            <w:r>
              <w:rPr>
                <w:rFonts w:hint="eastAsia" w:ascii="仿宋_GB2312" w:hAnsi="仿宋_GB2312" w:eastAsia="仿宋_GB2312" w:cs="仿宋_GB2312"/>
                <w:kern w:val="2"/>
                <w:sz w:val="24"/>
                <w:szCs w:val="24"/>
                <w:highlight w:val="none"/>
                <w:lang w:val="en-US" w:eastAsia="zh-CN"/>
              </w:rPr>
              <w:t>3年以上建筑</w:t>
            </w:r>
            <w:r>
              <w:rPr>
                <w:rFonts w:hint="default" w:ascii="仿宋_GB2312" w:hAnsi="仿宋_GB2312" w:eastAsia="仿宋_GB2312" w:cs="仿宋_GB2312"/>
                <w:kern w:val="2"/>
                <w:sz w:val="24"/>
                <w:szCs w:val="24"/>
                <w:highlight w:val="none"/>
                <w:lang w:val="en-US" w:eastAsia="zh-CN"/>
              </w:rPr>
              <w:t>行业招投标经验，熟悉相关行业专属招投标规则</w:t>
            </w:r>
            <w:r>
              <w:rPr>
                <w:rFonts w:hint="eastAsia" w:ascii="仿宋_GB2312" w:hAnsi="仿宋_GB2312" w:eastAsia="仿宋_GB2312" w:cs="仿宋_GB2312"/>
                <w:kern w:val="2"/>
                <w:sz w:val="24"/>
                <w:szCs w:val="24"/>
                <w:highlight w:val="none"/>
                <w:lang w:val="en-US" w:eastAsia="zh-CN"/>
              </w:rPr>
              <w:t>，具有国企招投标或政府采购实操经验者优先</w:t>
            </w:r>
            <w:r>
              <w:rPr>
                <w:rFonts w:hint="eastAsia" w:ascii="仿宋_GB2312" w:hAnsi="仿宋_GB2312" w:eastAsia="仿宋_GB2312" w:cs="仿宋_GB2312"/>
                <w:sz w:val="24"/>
                <w:szCs w:val="24"/>
                <w:highlight w:val="none"/>
                <w:vertAlign w:val="baseline"/>
                <w:lang w:val="en-US" w:eastAsia="zh-CN"/>
              </w:rPr>
              <w:t>；</w:t>
            </w:r>
          </w:p>
          <w:p w14:paraId="02E51545">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bCs w:val="0"/>
                <w:kern w:val="2"/>
                <w:sz w:val="24"/>
                <w:szCs w:val="24"/>
                <w:highlight w:val="none"/>
                <w:lang w:val="en-US" w:eastAsia="zh-CN" w:bidi="ar-SA"/>
              </w:rPr>
              <w:t>3.</w:t>
            </w:r>
            <w:r>
              <w:rPr>
                <w:rFonts w:hint="default" w:ascii="仿宋_GB2312" w:hAnsi="仿宋_GB2312" w:eastAsia="仿宋_GB2312" w:cs="仿宋_GB2312"/>
                <w:bCs w:val="0"/>
                <w:kern w:val="2"/>
                <w:sz w:val="24"/>
                <w:szCs w:val="24"/>
                <w:highlight w:val="none"/>
                <w:lang w:val="en-US" w:eastAsia="zh-CN" w:bidi="ar-SA"/>
              </w:rPr>
              <w:t>具备较强的细节纠错与风险预判能</w:t>
            </w:r>
            <w:r>
              <w:rPr>
                <w:rFonts w:hint="eastAsia" w:ascii="仿宋_GB2312" w:hAnsi="仿宋_GB2312" w:eastAsia="仿宋_GB2312" w:cs="仿宋_GB2312"/>
                <w:bCs w:val="0"/>
                <w:kern w:val="2"/>
                <w:sz w:val="24"/>
                <w:szCs w:val="24"/>
                <w:highlight w:val="none"/>
                <w:lang w:val="en-US" w:eastAsia="zh-CN" w:bidi="ar-SA"/>
              </w:rPr>
              <w:t>力，</w:t>
            </w:r>
            <w:r>
              <w:rPr>
                <w:rFonts w:hint="eastAsia" w:ascii="仿宋_GB2312" w:hAnsi="仿宋_GB2312" w:eastAsia="仿宋_GB2312" w:cs="仿宋_GB2312"/>
                <w:kern w:val="2"/>
                <w:sz w:val="24"/>
                <w:szCs w:val="24"/>
                <w:highlight w:val="none"/>
                <w:lang w:val="en-US" w:eastAsia="zh-CN"/>
              </w:rPr>
              <w:t>能独立完成招投标文件制作、审核、落地</w:t>
            </w:r>
            <w:r>
              <w:rPr>
                <w:rFonts w:hint="eastAsia" w:ascii="仿宋_GB2312" w:hAnsi="仿宋_GB2312" w:eastAsia="仿宋_GB2312" w:cs="仿宋_GB2312"/>
                <w:sz w:val="24"/>
                <w:szCs w:val="24"/>
                <w:highlight w:val="none"/>
                <w:vertAlign w:val="baseline"/>
                <w:lang w:val="en-US" w:eastAsia="zh-CN"/>
              </w:rPr>
              <w:t>；</w:t>
            </w:r>
          </w:p>
          <w:p w14:paraId="4651B90E">
            <w:pPr>
              <w:pStyle w:val="2"/>
              <w:numPr>
                <w:ilvl w:val="0"/>
                <w:numId w:val="0"/>
              </w:numPr>
              <w:rPr>
                <w:rFonts w:hint="default" w:ascii="仿宋_GB2312" w:hAnsi="仿宋_GB2312" w:eastAsia="仿宋_GB2312" w:cs="仿宋_GB2312"/>
                <w:bCs w:val="0"/>
                <w:kern w:val="2"/>
                <w:sz w:val="24"/>
                <w:szCs w:val="24"/>
                <w:highlight w:val="none"/>
                <w:lang w:val="en-US" w:eastAsia="zh-CN" w:bidi="ar-SA"/>
              </w:rPr>
            </w:pPr>
            <w:r>
              <w:rPr>
                <w:rFonts w:hint="eastAsia" w:ascii="仿宋_GB2312" w:hAnsi="仿宋_GB2312" w:eastAsia="仿宋_GB2312" w:cs="仿宋_GB2312"/>
                <w:bCs w:val="0"/>
                <w:kern w:val="2"/>
                <w:sz w:val="24"/>
                <w:szCs w:val="24"/>
                <w:highlight w:val="none"/>
                <w:lang w:val="en-US" w:eastAsia="zh-CN" w:bidi="ar-SA"/>
              </w:rPr>
              <w:t>4.</w:t>
            </w:r>
            <w:r>
              <w:rPr>
                <w:rFonts w:hint="default" w:ascii="仿宋_GB2312" w:hAnsi="仿宋_GB2312" w:eastAsia="仿宋_GB2312" w:cs="仿宋_GB2312"/>
                <w:bCs w:val="0"/>
                <w:kern w:val="2"/>
                <w:sz w:val="24"/>
                <w:szCs w:val="24"/>
                <w:highlight w:val="none"/>
                <w:lang w:val="en-US" w:eastAsia="zh-CN" w:bidi="ar-SA"/>
              </w:rPr>
              <w:t>熟悉《招标投标法》《政府采购法》及相关法规，熟悉政企及国企采购流程，精准把握评标规则与响应要求</w:t>
            </w:r>
            <w:r>
              <w:rPr>
                <w:rFonts w:hint="eastAsia" w:ascii="仿宋_GB2312" w:hAnsi="仿宋_GB2312" w:eastAsia="仿宋_GB2312" w:cs="仿宋_GB2312"/>
                <w:sz w:val="24"/>
                <w:szCs w:val="24"/>
                <w:highlight w:val="none"/>
                <w:vertAlign w:val="baseline"/>
                <w:lang w:val="en-US" w:eastAsia="zh-CN"/>
              </w:rPr>
              <w:t>；</w:t>
            </w:r>
          </w:p>
          <w:p w14:paraId="6EB1F4DA">
            <w:pPr>
              <w:pStyle w:val="2"/>
              <w:numPr>
                <w:ilvl w:val="0"/>
                <w:numId w:val="0"/>
              </w:numPr>
              <w:rPr>
                <w:rFonts w:hint="default" w:ascii="仿宋_GB2312" w:hAnsi="仿宋_GB2312" w:eastAsia="仿宋_GB2312" w:cs="仿宋_GB2312"/>
                <w:bCs w:val="0"/>
                <w:kern w:val="2"/>
                <w:sz w:val="24"/>
                <w:szCs w:val="24"/>
                <w:highlight w:val="none"/>
                <w:lang w:val="en-US" w:eastAsia="zh-CN" w:bidi="ar-SA"/>
              </w:rPr>
            </w:pPr>
            <w:r>
              <w:rPr>
                <w:rFonts w:hint="eastAsia" w:ascii="仿宋_GB2312" w:hAnsi="仿宋_GB2312" w:eastAsia="仿宋_GB2312" w:cs="仿宋_GB2312"/>
                <w:bCs w:val="0"/>
                <w:kern w:val="2"/>
                <w:sz w:val="24"/>
                <w:szCs w:val="24"/>
                <w:highlight w:val="none"/>
                <w:lang w:val="en-US" w:eastAsia="zh-CN" w:bidi="ar-SA"/>
              </w:rPr>
              <w:t>5.</w:t>
            </w:r>
            <w:r>
              <w:rPr>
                <w:rFonts w:hint="default" w:ascii="仿宋_GB2312" w:hAnsi="仿宋_GB2312" w:eastAsia="仿宋_GB2312" w:cs="仿宋_GB2312"/>
                <w:bCs w:val="0"/>
                <w:kern w:val="2"/>
                <w:sz w:val="24"/>
                <w:szCs w:val="24"/>
                <w:highlight w:val="none"/>
                <w:lang w:val="en-US" w:eastAsia="zh-CN" w:bidi="ar-SA"/>
              </w:rPr>
              <w:t>熟练使用Word、Excel等办公软件，具备标书排版、目录生成及图文处理能力；</w:t>
            </w:r>
            <w:r>
              <w:rPr>
                <w:rFonts w:hint="eastAsia" w:ascii="仿宋_GB2312" w:hAnsi="仿宋_GB2312" w:eastAsia="仿宋_GB2312" w:cs="仿宋_GB2312"/>
                <w:bCs w:val="0"/>
                <w:kern w:val="2"/>
                <w:sz w:val="24"/>
                <w:szCs w:val="24"/>
                <w:highlight w:val="none"/>
                <w:lang w:val="en-US" w:eastAsia="zh-CN" w:bidi="ar-SA"/>
              </w:rPr>
              <w:t>熟练</w:t>
            </w:r>
            <w:r>
              <w:rPr>
                <w:rFonts w:hint="default" w:ascii="仿宋_GB2312" w:hAnsi="仿宋_GB2312" w:eastAsia="仿宋_GB2312" w:cs="仿宋_GB2312"/>
                <w:bCs w:val="0"/>
                <w:kern w:val="2"/>
                <w:sz w:val="24"/>
                <w:szCs w:val="24"/>
                <w:highlight w:val="none"/>
                <w:lang w:val="en-US" w:eastAsia="zh-CN" w:bidi="ar-SA"/>
              </w:rPr>
              <w:t>招投标平台操作</w:t>
            </w:r>
            <w:r>
              <w:rPr>
                <w:rFonts w:hint="eastAsia" w:ascii="仿宋_GB2312" w:hAnsi="仿宋_GB2312" w:eastAsia="仿宋_GB2312" w:cs="仿宋_GB2312"/>
                <w:sz w:val="24"/>
                <w:szCs w:val="24"/>
                <w:highlight w:val="none"/>
                <w:vertAlign w:val="baseline"/>
                <w:lang w:val="en-US" w:eastAsia="zh-CN"/>
              </w:rPr>
              <w:t>；</w:t>
            </w:r>
          </w:p>
          <w:p w14:paraId="064855D4">
            <w:pPr>
              <w:pStyle w:val="2"/>
              <w:numPr>
                <w:ilvl w:val="0"/>
                <w:numId w:val="0"/>
              </w:numPr>
              <w:rPr>
                <w:rFonts w:hint="default" w:ascii="仿宋_GB2312" w:hAnsi="仿宋_GB2312" w:eastAsia="仿宋_GB2312" w:cs="仿宋_GB2312"/>
                <w:bCs w:val="0"/>
                <w:kern w:val="2"/>
                <w:sz w:val="24"/>
                <w:szCs w:val="24"/>
                <w:highlight w:val="none"/>
                <w:lang w:val="en-US" w:eastAsia="zh-CN" w:bidi="ar-SA"/>
              </w:rPr>
            </w:pPr>
            <w:r>
              <w:rPr>
                <w:rFonts w:hint="eastAsia" w:ascii="仿宋_GB2312" w:hAnsi="仿宋_GB2312" w:eastAsia="仿宋_GB2312" w:cs="仿宋_GB2312"/>
                <w:bCs w:val="0"/>
                <w:kern w:val="2"/>
                <w:sz w:val="24"/>
                <w:szCs w:val="24"/>
                <w:highlight w:val="none"/>
                <w:lang w:val="en-US" w:eastAsia="zh-CN" w:bidi="ar-SA"/>
              </w:rPr>
              <w:t>6.</w:t>
            </w:r>
            <w:r>
              <w:rPr>
                <w:rFonts w:hint="default" w:ascii="仿宋_GB2312" w:hAnsi="仿宋_GB2312" w:eastAsia="仿宋_GB2312" w:cs="仿宋_GB2312"/>
                <w:bCs w:val="0"/>
                <w:kern w:val="2"/>
                <w:sz w:val="24"/>
                <w:szCs w:val="24"/>
                <w:highlight w:val="none"/>
                <w:lang w:val="en-US" w:eastAsia="zh-CN" w:bidi="ar-SA"/>
              </w:rPr>
              <w:t>工作严谨细致、责任心强，具备良好的沟通协调能力和团队协作精神，能高效跨部门对接资料</w:t>
            </w:r>
            <w:r>
              <w:rPr>
                <w:rFonts w:hint="eastAsia" w:ascii="仿宋_GB2312" w:hAnsi="仿宋_GB2312" w:eastAsia="仿宋_GB2312" w:cs="仿宋_GB2312"/>
                <w:sz w:val="24"/>
                <w:szCs w:val="24"/>
                <w:highlight w:val="none"/>
                <w:vertAlign w:val="baseline"/>
                <w:lang w:val="en-US" w:eastAsia="zh-CN"/>
              </w:rPr>
              <w:t>；</w:t>
            </w:r>
          </w:p>
          <w:p w14:paraId="32596F16">
            <w:pPr>
              <w:pStyle w:val="2"/>
              <w:numPr>
                <w:ilvl w:val="0"/>
                <w:numId w:val="0"/>
              </w:numPr>
              <w:rPr>
                <w:rFonts w:hint="default"/>
                <w:highlight w:val="none"/>
                <w:lang w:val="en-US" w:eastAsia="zh-CN"/>
              </w:rPr>
            </w:pPr>
            <w:r>
              <w:rPr>
                <w:rFonts w:hint="eastAsia" w:ascii="仿宋_GB2312" w:hAnsi="仿宋_GB2312" w:eastAsia="仿宋_GB2312" w:cs="仿宋_GB2312"/>
                <w:bCs w:val="0"/>
                <w:kern w:val="2"/>
                <w:sz w:val="24"/>
                <w:szCs w:val="24"/>
                <w:highlight w:val="none"/>
                <w:lang w:val="en-US" w:eastAsia="zh-CN" w:bidi="ar-SA"/>
              </w:rPr>
              <w:t>7.</w:t>
            </w:r>
            <w:r>
              <w:rPr>
                <w:rFonts w:hint="default" w:ascii="仿宋_GB2312" w:hAnsi="仿宋_GB2312" w:eastAsia="仿宋_GB2312" w:cs="仿宋_GB2312"/>
                <w:bCs w:val="0"/>
                <w:kern w:val="2"/>
                <w:sz w:val="24"/>
                <w:szCs w:val="24"/>
                <w:highlight w:val="none"/>
                <w:lang w:val="en-US" w:eastAsia="zh-CN" w:bidi="ar-SA"/>
              </w:rPr>
              <w:t>能适应招投标高强</w:t>
            </w:r>
            <w:r>
              <w:rPr>
                <w:rFonts w:hint="eastAsia" w:ascii="仿宋_GB2312" w:hAnsi="仿宋_GB2312" w:eastAsia="仿宋_GB2312" w:cs="仿宋_GB2312"/>
                <w:bCs w:val="0"/>
                <w:kern w:val="2"/>
                <w:sz w:val="24"/>
                <w:szCs w:val="24"/>
                <w:highlight w:val="none"/>
                <w:lang w:val="en-US" w:eastAsia="zh-CN" w:bidi="ar-SA"/>
              </w:rPr>
              <w:t>压</w:t>
            </w:r>
            <w:r>
              <w:rPr>
                <w:rFonts w:hint="default" w:ascii="仿宋_GB2312" w:hAnsi="仿宋_GB2312" w:eastAsia="仿宋_GB2312" w:cs="仿宋_GB2312"/>
                <w:bCs w:val="0"/>
                <w:kern w:val="2"/>
                <w:sz w:val="24"/>
                <w:szCs w:val="24"/>
                <w:highlight w:val="none"/>
                <w:lang w:val="en-US" w:eastAsia="zh-CN" w:bidi="ar-SA"/>
              </w:rPr>
              <w:t>工作，严守商业机密（如报价、</w:t>
            </w:r>
            <w:r>
              <w:rPr>
                <w:rFonts w:hint="eastAsia" w:ascii="仿宋_GB2312" w:hAnsi="仿宋_GB2312" w:eastAsia="仿宋_GB2312" w:cs="仿宋_GB2312"/>
                <w:bCs w:val="0"/>
                <w:kern w:val="2"/>
                <w:sz w:val="24"/>
                <w:szCs w:val="24"/>
                <w:highlight w:val="none"/>
                <w:lang w:val="en-US" w:eastAsia="zh-CN" w:bidi="ar-SA"/>
              </w:rPr>
              <w:t>方案</w:t>
            </w:r>
            <w:r>
              <w:rPr>
                <w:rFonts w:hint="default" w:ascii="仿宋_GB2312" w:hAnsi="仿宋_GB2312" w:eastAsia="仿宋_GB2312" w:cs="仿宋_GB2312"/>
                <w:bCs w:val="0"/>
                <w:kern w:val="2"/>
                <w:sz w:val="24"/>
                <w:szCs w:val="24"/>
                <w:highlight w:val="none"/>
                <w:lang w:val="en-US" w:eastAsia="zh-CN" w:bidi="ar-SA"/>
              </w:rPr>
              <w:t>等）。</w:t>
            </w:r>
          </w:p>
        </w:tc>
        <w:tc>
          <w:tcPr>
            <w:tcW w:w="331" w:type="pct"/>
            <w:tcBorders>
              <w:top w:val="single" w:color="auto" w:sz="4" w:space="0"/>
              <w:left w:val="single" w:color="auto" w:sz="4" w:space="0"/>
              <w:bottom w:val="single" w:color="auto" w:sz="4" w:space="0"/>
              <w:right w:val="single" w:color="auto" w:sz="4" w:space="0"/>
            </w:tcBorders>
            <w:noWrap w:val="0"/>
            <w:vAlign w:val="center"/>
          </w:tcPr>
          <w:p w14:paraId="1A0A68A0">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both"/>
              <w:rPr>
                <w:rFonts w:hint="default"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1人</w:t>
            </w:r>
          </w:p>
        </w:tc>
        <w:tc>
          <w:tcPr>
            <w:tcW w:w="450" w:type="pct"/>
            <w:tcBorders>
              <w:top w:val="single" w:color="auto" w:sz="4" w:space="0"/>
              <w:left w:val="single" w:color="auto" w:sz="4" w:space="0"/>
              <w:bottom w:val="single" w:color="auto" w:sz="4" w:space="0"/>
              <w:right w:val="single" w:color="auto" w:sz="4" w:space="0"/>
            </w:tcBorders>
            <w:noWrap w:val="0"/>
            <w:vAlign w:val="center"/>
          </w:tcPr>
          <w:p w14:paraId="61B06CF1">
            <w:pPr>
              <w:rPr>
                <w:rFonts w:hint="default" w:ascii="仿宋_GB2312" w:hAnsi="仿宋_GB2312" w:eastAsia="仿宋_GB2312" w:cs="仿宋_GB2312"/>
                <w:bCs w:val="0"/>
                <w:kern w:val="2"/>
                <w:sz w:val="24"/>
                <w:szCs w:val="24"/>
                <w:highlight w:val="none"/>
                <w:lang w:val="en-US" w:eastAsia="zh-CN" w:bidi="ar-SA"/>
              </w:rPr>
            </w:pPr>
            <w:r>
              <w:rPr>
                <w:rFonts w:hint="eastAsia" w:ascii="仿宋_GB2312" w:hAnsi="仿宋_GB2312" w:eastAsia="仿宋_GB2312" w:cs="仿宋_GB2312"/>
                <w:kern w:val="2"/>
                <w:sz w:val="24"/>
                <w:szCs w:val="24"/>
                <w:highlight w:val="none"/>
                <w:lang w:val="en-US" w:eastAsia="zh-CN"/>
              </w:rPr>
              <w:t>6.6万元/年</w:t>
            </w:r>
            <w:r>
              <w:rPr>
                <w:rFonts w:hint="eastAsia" w:ascii="仿宋_GB2312" w:hAnsi="仿宋_GB2312" w:eastAsia="仿宋_GB2312" w:cs="仿宋_GB2312"/>
                <w:color w:val="auto"/>
                <w:kern w:val="2"/>
                <w:sz w:val="24"/>
                <w:szCs w:val="24"/>
                <w:highlight w:val="none"/>
                <w:lang w:val="en-US" w:eastAsia="zh-CN" w:bidi="ar-SA"/>
              </w:rPr>
              <w:t>（含个人四险部分）</w:t>
            </w:r>
          </w:p>
        </w:tc>
        <w:tc>
          <w:tcPr>
            <w:tcW w:w="2697" w:type="pct"/>
            <w:tcBorders>
              <w:top w:val="single" w:color="auto" w:sz="4" w:space="0"/>
              <w:left w:val="single" w:color="auto" w:sz="4" w:space="0"/>
              <w:bottom w:val="single" w:color="auto" w:sz="4" w:space="0"/>
              <w:right w:val="single" w:color="auto" w:sz="4" w:space="0"/>
            </w:tcBorders>
            <w:noWrap w:val="0"/>
            <w:vAlign w:val="center"/>
          </w:tcPr>
          <w:p w14:paraId="78FDC936">
            <w:pPr>
              <w:rPr>
                <w:rFonts w:hint="eastAsia" w:ascii="仿宋_GB2312" w:hAnsi="仿宋_GB2312" w:eastAsia="仿宋_GB2312" w:cs="仿宋_GB2312"/>
                <w:bCs w:val="0"/>
                <w:kern w:val="2"/>
                <w:sz w:val="24"/>
                <w:szCs w:val="24"/>
                <w:highlight w:val="none"/>
                <w:lang w:val="en-US" w:eastAsia="zh-CN" w:bidi="ar-SA"/>
              </w:rPr>
            </w:pPr>
            <w:r>
              <w:rPr>
                <w:rFonts w:hint="eastAsia" w:ascii="仿宋_GB2312" w:hAnsi="仿宋_GB2312" w:eastAsia="仿宋_GB2312" w:cs="仿宋_GB2312"/>
                <w:bCs w:val="0"/>
                <w:kern w:val="2"/>
                <w:sz w:val="24"/>
                <w:szCs w:val="24"/>
                <w:highlight w:val="none"/>
                <w:lang w:val="en-US" w:eastAsia="zh-CN" w:bidi="ar-SA"/>
              </w:rPr>
              <w:t>1.</w:t>
            </w:r>
            <w:r>
              <w:rPr>
                <w:rFonts w:hint="default" w:ascii="仿宋_GB2312" w:hAnsi="仿宋_GB2312" w:eastAsia="仿宋_GB2312" w:cs="仿宋_GB2312"/>
                <w:bCs w:val="0"/>
                <w:kern w:val="2"/>
                <w:sz w:val="24"/>
                <w:szCs w:val="24"/>
                <w:highlight w:val="none"/>
                <w:lang w:val="en-US" w:eastAsia="zh-CN" w:bidi="ar-SA"/>
              </w:rPr>
              <w:t>独立完成招</w:t>
            </w:r>
            <w:r>
              <w:rPr>
                <w:rFonts w:hint="eastAsia" w:ascii="仿宋_GB2312" w:hAnsi="仿宋_GB2312" w:eastAsia="仿宋_GB2312" w:cs="仿宋_GB2312"/>
                <w:bCs w:val="0"/>
                <w:kern w:val="2"/>
                <w:sz w:val="24"/>
                <w:szCs w:val="24"/>
                <w:highlight w:val="none"/>
                <w:lang w:val="en-US" w:eastAsia="zh-CN" w:bidi="ar-SA"/>
              </w:rPr>
              <w:t>投</w:t>
            </w:r>
            <w:r>
              <w:rPr>
                <w:rFonts w:hint="default" w:ascii="仿宋_GB2312" w:hAnsi="仿宋_GB2312" w:eastAsia="仿宋_GB2312" w:cs="仿宋_GB2312"/>
                <w:bCs w:val="0"/>
                <w:kern w:val="2"/>
                <w:sz w:val="24"/>
                <w:szCs w:val="24"/>
                <w:highlight w:val="none"/>
                <w:lang w:val="en-US" w:eastAsia="zh-CN" w:bidi="ar-SA"/>
              </w:rPr>
              <w:t>标</w:t>
            </w:r>
            <w:r>
              <w:rPr>
                <w:rFonts w:hint="eastAsia" w:ascii="仿宋_GB2312" w:hAnsi="仿宋_GB2312" w:eastAsia="仿宋_GB2312" w:cs="仿宋_GB2312"/>
                <w:bCs w:val="0"/>
                <w:kern w:val="2"/>
                <w:sz w:val="24"/>
                <w:szCs w:val="24"/>
                <w:highlight w:val="none"/>
                <w:lang w:val="en-US" w:eastAsia="zh-CN" w:bidi="ar-SA"/>
              </w:rPr>
              <w:t>资料</w:t>
            </w:r>
            <w:r>
              <w:rPr>
                <w:rFonts w:hint="default" w:ascii="仿宋_GB2312" w:hAnsi="仿宋_GB2312" w:eastAsia="仿宋_GB2312" w:cs="仿宋_GB2312"/>
                <w:bCs w:val="0"/>
                <w:kern w:val="2"/>
                <w:sz w:val="24"/>
                <w:szCs w:val="24"/>
                <w:highlight w:val="none"/>
                <w:lang w:val="en-US" w:eastAsia="zh-CN" w:bidi="ar-SA"/>
              </w:rPr>
              <w:t>的收集、汇总</w:t>
            </w:r>
            <w:r>
              <w:rPr>
                <w:rFonts w:hint="eastAsia" w:ascii="仿宋_GB2312" w:hAnsi="仿宋_GB2312" w:eastAsia="仿宋_GB2312" w:cs="仿宋_GB2312"/>
                <w:bCs w:val="0"/>
                <w:kern w:val="2"/>
                <w:sz w:val="24"/>
                <w:szCs w:val="24"/>
                <w:highlight w:val="none"/>
                <w:lang w:val="en-US" w:eastAsia="zh-CN" w:bidi="ar-SA"/>
              </w:rPr>
              <w:t>，招投标文件的</w:t>
            </w:r>
            <w:r>
              <w:rPr>
                <w:rFonts w:hint="default" w:ascii="仿宋_GB2312" w:hAnsi="仿宋_GB2312" w:eastAsia="仿宋_GB2312" w:cs="仿宋_GB2312"/>
                <w:bCs w:val="0"/>
                <w:kern w:val="2"/>
                <w:sz w:val="24"/>
                <w:szCs w:val="24"/>
                <w:highlight w:val="none"/>
                <w:lang w:val="en-US" w:eastAsia="zh-CN" w:bidi="ar-SA"/>
              </w:rPr>
              <w:t>编制发现招标文件及标书内的细微漏洞、开标跟进及项目归档工作</w:t>
            </w:r>
            <w:r>
              <w:rPr>
                <w:rFonts w:hint="eastAsia" w:ascii="仿宋_GB2312" w:hAnsi="仿宋_GB2312" w:eastAsia="仿宋_GB2312" w:cs="仿宋_GB2312"/>
                <w:sz w:val="24"/>
                <w:szCs w:val="24"/>
                <w:highlight w:val="none"/>
                <w:vertAlign w:val="baseline"/>
                <w:lang w:val="en-US" w:eastAsia="zh-CN"/>
              </w:rPr>
              <w:t>。</w:t>
            </w:r>
          </w:p>
          <w:p w14:paraId="284F0011">
            <w:pPr>
              <w:rPr>
                <w:rFonts w:hint="default" w:ascii="仿宋_GB2312" w:hAnsi="仿宋_GB2312" w:eastAsia="仿宋_GB2312" w:cs="仿宋_GB2312"/>
                <w:bCs w:val="0"/>
                <w:kern w:val="2"/>
                <w:sz w:val="24"/>
                <w:szCs w:val="24"/>
                <w:highlight w:val="none"/>
                <w:lang w:val="en-US" w:eastAsia="zh-CN" w:bidi="ar-SA"/>
              </w:rPr>
            </w:pPr>
            <w:r>
              <w:rPr>
                <w:rFonts w:hint="eastAsia" w:ascii="仿宋_GB2312" w:hAnsi="仿宋_GB2312" w:eastAsia="仿宋_GB2312" w:cs="仿宋_GB2312"/>
                <w:bCs w:val="0"/>
                <w:kern w:val="2"/>
                <w:sz w:val="24"/>
                <w:szCs w:val="24"/>
                <w:highlight w:val="none"/>
                <w:lang w:val="en-US" w:eastAsia="zh-CN" w:bidi="ar-SA"/>
              </w:rPr>
              <w:t>2.</w:t>
            </w:r>
            <w:r>
              <w:rPr>
                <w:rFonts w:hint="default" w:ascii="仿宋_GB2312" w:hAnsi="仿宋_GB2312" w:eastAsia="仿宋_GB2312" w:cs="仿宋_GB2312"/>
                <w:bCs w:val="0"/>
                <w:kern w:val="2"/>
                <w:sz w:val="24"/>
                <w:szCs w:val="24"/>
                <w:highlight w:val="none"/>
                <w:lang w:val="en-US" w:eastAsia="zh-CN" w:bidi="ar-SA"/>
              </w:rPr>
              <w:t>审核招标</w:t>
            </w:r>
            <w:r>
              <w:rPr>
                <w:rFonts w:hint="eastAsia" w:ascii="仿宋_GB2312" w:hAnsi="仿宋_GB2312" w:eastAsia="仿宋_GB2312" w:cs="仿宋_GB2312"/>
                <w:bCs w:val="0"/>
                <w:kern w:val="2"/>
                <w:sz w:val="24"/>
                <w:szCs w:val="24"/>
                <w:highlight w:val="none"/>
                <w:lang w:val="en-US" w:eastAsia="zh-CN" w:bidi="ar-SA"/>
              </w:rPr>
              <w:t>文件及招标</w:t>
            </w:r>
            <w:r>
              <w:rPr>
                <w:rFonts w:hint="default" w:ascii="仿宋_GB2312" w:hAnsi="仿宋_GB2312" w:eastAsia="仿宋_GB2312" w:cs="仿宋_GB2312"/>
                <w:bCs w:val="0"/>
                <w:kern w:val="2"/>
                <w:sz w:val="24"/>
                <w:szCs w:val="24"/>
                <w:highlight w:val="none"/>
                <w:lang w:val="en-US" w:eastAsia="zh-CN" w:bidi="ar-SA"/>
              </w:rPr>
              <w:t>合同条款；识别潜在风险</w:t>
            </w:r>
            <w:r>
              <w:rPr>
                <w:rFonts w:hint="eastAsia" w:ascii="仿宋_GB2312" w:hAnsi="仿宋_GB2312" w:eastAsia="仿宋_GB2312" w:cs="仿宋_GB2312"/>
                <w:sz w:val="24"/>
                <w:szCs w:val="24"/>
                <w:highlight w:val="none"/>
                <w:vertAlign w:val="baseline"/>
                <w:lang w:val="en-US" w:eastAsia="zh-CN"/>
              </w:rPr>
              <w:t>。</w:t>
            </w:r>
          </w:p>
          <w:p w14:paraId="5C576882">
            <w:pPr>
              <w:rPr>
                <w:rFonts w:hint="default" w:ascii="仿宋_GB2312" w:hAnsi="仿宋_GB2312" w:eastAsia="仿宋_GB2312" w:cs="仿宋_GB2312"/>
                <w:bCs w:val="0"/>
                <w:kern w:val="2"/>
                <w:sz w:val="24"/>
                <w:szCs w:val="24"/>
                <w:highlight w:val="none"/>
                <w:lang w:val="en-US" w:eastAsia="zh-CN" w:bidi="ar-SA"/>
              </w:rPr>
            </w:pPr>
            <w:r>
              <w:rPr>
                <w:rFonts w:hint="eastAsia" w:ascii="仿宋_GB2312" w:hAnsi="仿宋_GB2312" w:eastAsia="仿宋_GB2312" w:cs="仿宋_GB2312"/>
                <w:bCs w:val="0"/>
                <w:kern w:val="2"/>
                <w:sz w:val="24"/>
                <w:szCs w:val="24"/>
                <w:highlight w:val="none"/>
                <w:lang w:val="en-US" w:eastAsia="zh-CN" w:bidi="ar-SA"/>
              </w:rPr>
              <w:t>3.</w:t>
            </w:r>
            <w:r>
              <w:rPr>
                <w:rFonts w:hint="eastAsia" w:ascii="仿宋_GB2312" w:hAnsi="仿宋_GB2312" w:eastAsia="仿宋_GB2312" w:cs="仿宋_GB2312"/>
                <w:bCs w:val="0"/>
                <w:kern w:val="2"/>
                <w:sz w:val="24"/>
                <w:szCs w:val="24"/>
                <w:highlight w:val="none"/>
                <w:lang w:val="en-US" w:eastAsia="zh-CN" w:bidi="ar-SA"/>
              </w:rPr>
              <w:t>负责招标信息发布、整理并归档</w:t>
            </w:r>
            <w:r>
              <w:rPr>
                <w:rFonts w:hint="eastAsia" w:ascii="仿宋_GB2312" w:hAnsi="仿宋_GB2312" w:eastAsia="仿宋_GB2312" w:cs="仿宋_GB2312"/>
                <w:sz w:val="24"/>
                <w:szCs w:val="24"/>
                <w:highlight w:val="none"/>
                <w:vertAlign w:val="baseline"/>
                <w:lang w:val="en-US" w:eastAsia="zh-CN"/>
              </w:rPr>
              <w:t>。</w:t>
            </w:r>
          </w:p>
          <w:p w14:paraId="0C442A74">
            <w:pPr>
              <w:keepNext w:val="0"/>
              <w:keepLines w:val="0"/>
              <w:widowControl/>
              <w:suppressLineNumbers w:val="0"/>
              <w:jc w:val="left"/>
              <w:rPr>
                <w:rFonts w:hint="eastAsia" w:ascii="仿宋_GB2312" w:hAnsi="仿宋_GB2312" w:eastAsia="仿宋_GB2312" w:cs="仿宋_GB2312"/>
                <w:bCs w:val="0"/>
                <w:kern w:val="2"/>
                <w:sz w:val="24"/>
                <w:szCs w:val="24"/>
                <w:highlight w:val="none"/>
                <w:lang w:val="en-US" w:eastAsia="zh-CN" w:bidi="ar-SA"/>
              </w:rPr>
            </w:pPr>
            <w:r>
              <w:rPr>
                <w:rFonts w:hint="eastAsia" w:ascii="仿宋_GB2312" w:hAnsi="仿宋_GB2312" w:eastAsia="仿宋_GB2312" w:cs="仿宋_GB2312"/>
                <w:bCs w:val="0"/>
                <w:kern w:val="2"/>
                <w:sz w:val="24"/>
                <w:szCs w:val="24"/>
                <w:highlight w:val="none"/>
                <w:lang w:val="en-US" w:eastAsia="zh-CN" w:bidi="ar-SA"/>
              </w:rPr>
              <w:t>4.</w:t>
            </w:r>
            <w:r>
              <w:rPr>
                <w:rFonts w:hint="eastAsia" w:ascii="仿宋_GB2312" w:hAnsi="仿宋_GB2312" w:eastAsia="仿宋_GB2312" w:cs="仿宋_GB2312"/>
                <w:bCs w:val="0"/>
                <w:kern w:val="2"/>
                <w:sz w:val="24"/>
                <w:szCs w:val="24"/>
                <w:highlight w:val="none"/>
                <w:lang w:val="en-US" w:eastAsia="zh-CN" w:bidi="ar-SA"/>
              </w:rPr>
              <w:t>跟踪招标进度、处理质疑、澄清等，</w:t>
            </w:r>
            <w:r>
              <w:rPr>
                <w:rFonts w:hint="default" w:ascii="仿宋_GB2312" w:hAnsi="仿宋_GB2312" w:eastAsia="仿宋_GB2312" w:cs="仿宋_GB2312"/>
                <w:bCs w:val="0"/>
                <w:kern w:val="2"/>
                <w:sz w:val="24"/>
                <w:szCs w:val="24"/>
                <w:highlight w:val="none"/>
                <w:lang w:val="en-US" w:eastAsia="zh-CN" w:bidi="ar-SA"/>
              </w:rPr>
              <w:t>协助完善采购流程及相关台账管理</w:t>
            </w:r>
            <w:r>
              <w:rPr>
                <w:rFonts w:hint="eastAsia" w:ascii="仿宋_GB2312" w:hAnsi="仿宋_GB2312" w:eastAsia="仿宋_GB2312" w:cs="仿宋_GB2312"/>
                <w:sz w:val="24"/>
                <w:szCs w:val="24"/>
                <w:highlight w:val="none"/>
                <w:vertAlign w:val="baseline"/>
                <w:lang w:val="en-US" w:eastAsia="zh-CN"/>
              </w:rPr>
              <w:t>。</w:t>
            </w:r>
          </w:p>
          <w:p w14:paraId="5CA361F1">
            <w:pPr>
              <w:pStyle w:val="2"/>
              <w:rPr>
                <w:highlight w:val="none"/>
              </w:rPr>
            </w:pPr>
            <w:r>
              <w:rPr>
                <w:rFonts w:hint="eastAsia" w:ascii="仿宋_GB2312" w:hAnsi="仿宋_GB2312" w:eastAsia="仿宋_GB2312" w:cs="仿宋_GB2312"/>
                <w:bCs w:val="0"/>
                <w:kern w:val="2"/>
                <w:sz w:val="24"/>
                <w:szCs w:val="24"/>
                <w:highlight w:val="none"/>
                <w:lang w:val="en-US" w:eastAsia="zh-CN" w:bidi="ar-SA"/>
              </w:rPr>
              <w:t>5.</w:t>
            </w:r>
            <w:r>
              <w:rPr>
                <w:rFonts w:hint="eastAsia" w:ascii="仿宋_GB2312" w:hAnsi="仿宋_GB2312" w:eastAsia="仿宋_GB2312" w:cs="仿宋_GB2312"/>
                <w:bCs w:val="0"/>
                <w:kern w:val="2"/>
                <w:sz w:val="24"/>
                <w:szCs w:val="24"/>
                <w:highlight w:val="none"/>
                <w:lang w:val="en-US" w:eastAsia="zh-CN" w:bidi="ar-SA"/>
              </w:rPr>
              <w:t>完成公司交办的其他工作。</w:t>
            </w:r>
          </w:p>
          <w:p w14:paraId="45FC161B">
            <w:pPr>
              <w:keepNext w:val="0"/>
              <w:keepLines w:val="0"/>
              <w:widowControl/>
              <w:suppressLineNumbers w:val="0"/>
              <w:jc w:val="left"/>
              <w:rPr>
                <w:highlight w:val="none"/>
              </w:rPr>
            </w:pPr>
          </w:p>
          <w:p w14:paraId="48C0FFB3">
            <w:pPr>
              <w:rPr>
                <w:rFonts w:hint="eastAsia" w:ascii="仿宋_GB2312" w:hAnsi="仿宋_GB2312" w:eastAsia="仿宋_GB2312" w:cs="仿宋_GB2312"/>
                <w:bCs w:val="0"/>
                <w:kern w:val="2"/>
                <w:sz w:val="24"/>
                <w:szCs w:val="24"/>
                <w:highlight w:val="none"/>
                <w:lang w:val="en-US" w:eastAsia="zh-CN" w:bidi="ar-SA"/>
              </w:rPr>
            </w:pPr>
          </w:p>
          <w:p w14:paraId="10A7F979">
            <w:pPr>
              <w:rPr>
                <w:rFonts w:hint="default" w:ascii="仿宋_GB2312" w:hAnsi="仿宋_GB2312" w:eastAsia="仿宋_GB2312" w:cs="仿宋_GB2312"/>
                <w:bCs w:val="0"/>
                <w:kern w:val="2"/>
                <w:sz w:val="24"/>
                <w:szCs w:val="24"/>
                <w:highlight w:val="none"/>
                <w:lang w:val="en-US" w:eastAsia="zh-CN" w:bidi="ar-SA"/>
              </w:rPr>
            </w:pPr>
          </w:p>
          <w:p w14:paraId="54DF53B6">
            <w:pPr>
              <w:rPr>
                <w:rFonts w:hint="default" w:ascii="仿宋_GB2312" w:hAnsi="仿宋_GB2312" w:eastAsia="仿宋_GB2312" w:cs="仿宋_GB2312"/>
                <w:bCs w:val="0"/>
                <w:kern w:val="2"/>
                <w:sz w:val="24"/>
                <w:szCs w:val="24"/>
                <w:highlight w:val="none"/>
                <w:lang w:val="en-US" w:eastAsia="zh-CN" w:bidi="ar-SA"/>
              </w:rPr>
            </w:pPr>
          </w:p>
          <w:p w14:paraId="32B5A94A">
            <w:pPr>
              <w:rPr>
                <w:rFonts w:hint="eastAsia" w:ascii="仿宋_GB2312" w:hAnsi="仿宋_GB2312" w:eastAsia="仿宋_GB2312" w:cs="仿宋_GB2312"/>
                <w:bCs w:val="0"/>
                <w:kern w:val="2"/>
                <w:sz w:val="24"/>
                <w:szCs w:val="24"/>
                <w:highlight w:val="none"/>
                <w:lang w:val="en-US" w:eastAsia="zh-CN" w:bidi="ar-SA"/>
              </w:rPr>
            </w:pPr>
          </w:p>
        </w:tc>
      </w:tr>
      <w:tr w14:paraId="1A2758BF">
        <w:tblPrEx>
          <w:tblCellMar>
            <w:top w:w="0" w:type="dxa"/>
            <w:left w:w="108" w:type="dxa"/>
            <w:bottom w:w="0" w:type="dxa"/>
            <w:right w:w="108" w:type="dxa"/>
          </w:tblCellMar>
        </w:tblPrEx>
        <w:trPr>
          <w:cantSplit/>
          <w:trHeight w:val="90" w:hRule="atLeast"/>
        </w:trPr>
        <w:tc>
          <w:tcPr>
            <w:tcW w:w="454" w:type="pct"/>
            <w:tcBorders>
              <w:top w:val="single" w:color="auto" w:sz="4" w:space="0"/>
              <w:left w:val="single" w:color="auto" w:sz="4" w:space="0"/>
              <w:bottom w:val="single" w:color="auto" w:sz="4" w:space="0"/>
              <w:right w:val="single" w:color="auto" w:sz="4" w:space="0"/>
            </w:tcBorders>
            <w:noWrap w:val="0"/>
            <w:vAlign w:val="center"/>
          </w:tcPr>
          <w:p w14:paraId="56D199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auto"/>
                <w:kern w:val="2"/>
                <w:sz w:val="24"/>
                <w:szCs w:val="24"/>
                <w:highlight w:val="none"/>
                <w:lang w:val="en-US" w:eastAsia="zh-CN" w:bidi="ar-SA"/>
              </w:rPr>
              <w:t>预算员</w:t>
            </w:r>
          </w:p>
        </w:tc>
        <w:tc>
          <w:tcPr>
            <w:tcW w:w="1065" w:type="pct"/>
            <w:tcBorders>
              <w:top w:val="single" w:color="auto" w:sz="4" w:space="0"/>
              <w:left w:val="single" w:color="auto" w:sz="4" w:space="0"/>
              <w:bottom w:val="single" w:color="auto" w:sz="4" w:space="0"/>
              <w:right w:val="single" w:color="auto" w:sz="4" w:space="0"/>
            </w:tcBorders>
            <w:noWrap/>
            <w:vAlign w:val="center"/>
          </w:tcPr>
          <w:p w14:paraId="553D28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bCs/>
                <w:color w:val="auto"/>
                <w:kern w:val="0"/>
                <w:sz w:val="24"/>
                <w:szCs w:val="24"/>
                <w:highlight w:val="none"/>
                <w:lang w:bidi="ar"/>
              </w:rPr>
            </w:pPr>
            <w:r>
              <w:rPr>
                <w:rFonts w:hint="eastAsia" w:ascii="仿宋_GB2312" w:hAnsi="仿宋_GB2312" w:eastAsia="仿宋_GB2312" w:cs="仿宋_GB2312"/>
                <w:bCs/>
                <w:color w:val="auto"/>
                <w:kern w:val="0"/>
                <w:sz w:val="24"/>
                <w:szCs w:val="24"/>
                <w:highlight w:val="none"/>
                <w:lang w:bidi="ar"/>
              </w:rPr>
              <w:t>1</w:t>
            </w:r>
            <w:r>
              <w:rPr>
                <w:rFonts w:hint="eastAsia" w:ascii="仿宋_GB2312" w:hAnsi="仿宋_GB2312" w:eastAsia="仿宋_GB2312" w:cs="仿宋_GB2312"/>
                <w:bCs/>
                <w:color w:val="auto"/>
                <w:kern w:val="0"/>
                <w:sz w:val="24"/>
                <w:szCs w:val="24"/>
                <w:highlight w:val="none"/>
                <w:lang w:val="en-US" w:eastAsia="zh-CN" w:bidi="ar"/>
              </w:rPr>
              <w:t>.</w:t>
            </w:r>
            <w:r>
              <w:rPr>
                <w:rFonts w:hint="eastAsia" w:ascii="仿宋_GB2312" w:hAnsi="仿宋_GB2312" w:eastAsia="仿宋_GB2312" w:cs="仿宋_GB2312"/>
                <w:bCs/>
                <w:color w:val="auto"/>
                <w:kern w:val="0"/>
                <w:sz w:val="24"/>
                <w:szCs w:val="24"/>
                <w:highlight w:val="none"/>
                <w:lang w:bidi="ar"/>
              </w:rPr>
              <w:t>年龄</w:t>
            </w:r>
            <w:r>
              <w:rPr>
                <w:rFonts w:hint="eastAsia" w:ascii="仿宋_GB2312" w:hAnsi="仿宋_GB2312" w:eastAsia="仿宋_GB2312" w:cs="仿宋_GB2312"/>
                <w:bCs/>
                <w:color w:val="auto"/>
                <w:kern w:val="0"/>
                <w:sz w:val="24"/>
                <w:szCs w:val="24"/>
                <w:highlight w:val="none"/>
                <w:lang w:val="en-US" w:eastAsia="zh-CN" w:bidi="ar"/>
              </w:rPr>
              <w:t>35</w:t>
            </w:r>
            <w:r>
              <w:rPr>
                <w:rFonts w:hint="eastAsia" w:ascii="仿宋_GB2312" w:hAnsi="仿宋_GB2312" w:eastAsia="仿宋_GB2312" w:cs="仿宋_GB2312"/>
                <w:bCs/>
                <w:color w:val="auto"/>
                <w:kern w:val="0"/>
                <w:sz w:val="24"/>
                <w:szCs w:val="24"/>
                <w:highlight w:val="none"/>
                <w:lang w:bidi="ar"/>
              </w:rPr>
              <w:t>周岁及以下，</w:t>
            </w:r>
            <w:r>
              <w:rPr>
                <w:rFonts w:hint="eastAsia" w:ascii="仿宋_GB2312" w:hAnsi="仿宋_GB2312" w:eastAsia="仿宋_GB2312" w:cs="仿宋_GB2312"/>
                <w:bCs/>
                <w:color w:val="auto"/>
                <w:kern w:val="0"/>
                <w:sz w:val="24"/>
                <w:szCs w:val="24"/>
                <w:highlight w:val="none"/>
                <w:lang w:val="en-US" w:eastAsia="zh-CN" w:bidi="ar"/>
              </w:rPr>
              <w:t>全日制</w:t>
            </w:r>
            <w:r>
              <w:rPr>
                <w:rFonts w:hint="eastAsia" w:ascii="仿宋_GB2312" w:hAnsi="仿宋_GB2312" w:eastAsia="仿宋_GB2312" w:cs="仿宋_GB2312"/>
                <w:bCs/>
                <w:color w:val="auto"/>
                <w:kern w:val="0"/>
                <w:sz w:val="24"/>
                <w:szCs w:val="24"/>
                <w:highlight w:val="none"/>
                <w:lang w:bidi="ar"/>
              </w:rPr>
              <w:t>大专及以上学历，工程造价、工程管理或相关专业；</w:t>
            </w:r>
          </w:p>
          <w:p w14:paraId="790DA14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bCs/>
                <w:color w:val="auto"/>
                <w:kern w:val="0"/>
                <w:sz w:val="24"/>
                <w:szCs w:val="24"/>
                <w:highlight w:val="none"/>
                <w:lang w:bidi="ar"/>
              </w:rPr>
            </w:pPr>
            <w:r>
              <w:rPr>
                <w:rFonts w:hint="eastAsia" w:ascii="仿宋_GB2312" w:hAnsi="仿宋_GB2312" w:eastAsia="仿宋_GB2312" w:cs="仿宋_GB2312"/>
                <w:bCs/>
                <w:color w:val="auto"/>
                <w:kern w:val="0"/>
                <w:sz w:val="24"/>
                <w:szCs w:val="24"/>
                <w:highlight w:val="none"/>
                <w:lang w:bidi="ar"/>
              </w:rPr>
              <w:t>2</w:t>
            </w:r>
            <w:r>
              <w:rPr>
                <w:rFonts w:hint="eastAsia" w:ascii="仿宋_GB2312" w:hAnsi="仿宋_GB2312" w:eastAsia="仿宋_GB2312" w:cs="仿宋_GB2312"/>
                <w:bCs/>
                <w:color w:val="auto"/>
                <w:kern w:val="0"/>
                <w:sz w:val="24"/>
                <w:szCs w:val="24"/>
                <w:highlight w:val="none"/>
                <w:lang w:val="en-US" w:eastAsia="zh-CN" w:bidi="ar"/>
              </w:rPr>
              <w:t>.</w:t>
            </w:r>
            <w:r>
              <w:rPr>
                <w:rFonts w:hint="eastAsia" w:ascii="仿宋_GB2312" w:hAnsi="仿宋_GB2312" w:eastAsia="仿宋_GB2312" w:cs="仿宋_GB2312"/>
                <w:bCs/>
                <w:color w:val="auto"/>
                <w:kern w:val="0"/>
                <w:sz w:val="24"/>
                <w:szCs w:val="24"/>
                <w:highlight w:val="none"/>
                <w:lang w:val="en-US" w:eastAsia="zh-CN" w:bidi="ar"/>
              </w:rPr>
              <w:t>3</w:t>
            </w:r>
            <w:r>
              <w:rPr>
                <w:rFonts w:hint="eastAsia" w:ascii="仿宋_GB2312" w:hAnsi="仿宋_GB2312" w:eastAsia="仿宋_GB2312" w:cs="仿宋_GB2312"/>
                <w:bCs/>
                <w:color w:val="auto"/>
                <w:kern w:val="0"/>
                <w:sz w:val="24"/>
                <w:szCs w:val="24"/>
                <w:highlight w:val="none"/>
                <w:lang w:bidi="ar"/>
              </w:rPr>
              <w:t>年以上建筑工程</w:t>
            </w:r>
            <w:r>
              <w:rPr>
                <w:rFonts w:hint="eastAsia" w:ascii="仿宋_GB2312" w:hAnsi="仿宋_GB2312" w:eastAsia="仿宋_GB2312" w:cs="仿宋_GB2312"/>
                <w:bCs/>
                <w:color w:val="auto"/>
                <w:kern w:val="0"/>
                <w:sz w:val="24"/>
                <w:szCs w:val="24"/>
                <w:highlight w:val="none"/>
                <w:lang w:val="en-US" w:eastAsia="zh-CN" w:bidi="ar"/>
              </w:rPr>
              <w:t>或安装工程</w:t>
            </w:r>
            <w:r>
              <w:rPr>
                <w:rFonts w:hint="eastAsia" w:ascii="仿宋_GB2312" w:hAnsi="仿宋_GB2312" w:eastAsia="仿宋_GB2312" w:cs="仿宋_GB2312"/>
                <w:bCs/>
                <w:color w:val="auto"/>
                <w:kern w:val="0"/>
                <w:sz w:val="24"/>
                <w:szCs w:val="24"/>
                <w:highlight w:val="none"/>
                <w:lang w:bidi="ar"/>
              </w:rPr>
              <w:t>预结算工作经验，且具有成本核算或成本分析工作经历；</w:t>
            </w:r>
          </w:p>
          <w:p w14:paraId="0A6F7FB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bCs/>
                <w:color w:val="auto"/>
                <w:kern w:val="0"/>
                <w:sz w:val="24"/>
                <w:szCs w:val="24"/>
                <w:highlight w:val="none"/>
                <w:lang w:bidi="ar"/>
              </w:rPr>
            </w:pPr>
            <w:r>
              <w:rPr>
                <w:rFonts w:hint="eastAsia" w:ascii="仿宋_GB2312" w:hAnsi="仿宋_GB2312" w:eastAsia="仿宋_GB2312" w:cs="仿宋_GB2312"/>
                <w:bCs/>
                <w:color w:val="auto"/>
                <w:kern w:val="0"/>
                <w:sz w:val="24"/>
                <w:szCs w:val="24"/>
                <w:highlight w:val="none"/>
                <w:lang w:bidi="ar"/>
              </w:rPr>
              <w:t>3</w:t>
            </w:r>
            <w:r>
              <w:rPr>
                <w:rFonts w:hint="eastAsia" w:ascii="仿宋_GB2312" w:hAnsi="仿宋_GB2312" w:eastAsia="仿宋_GB2312" w:cs="仿宋_GB2312"/>
                <w:bCs/>
                <w:color w:val="auto"/>
                <w:kern w:val="0"/>
                <w:sz w:val="24"/>
                <w:szCs w:val="24"/>
                <w:highlight w:val="none"/>
                <w:lang w:val="en-US" w:eastAsia="zh-CN" w:bidi="ar"/>
              </w:rPr>
              <w:t>.</w:t>
            </w:r>
            <w:r>
              <w:rPr>
                <w:rFonts w:hint="eastAsia" w:ascii="仿宋_GB2312" w:hAnsi="仿宋_GB2312" w:eastAsia="仿宋_GB2312" w:cs="仿宋_GB2312"/>
                <w:bCs/>
                <w:color w:val="auto"/>
                <w:kern w:val="0"/>
                <w:sz w:val="24"/>
                <w:szCs w:val="24"/>
                <w:highlight w:val="none"/>
                <w:lang w:bidi="ar"/>
              </w:rPr>
              <w:t>熟悉国家工程量清单计价规范</w:t>
            </w:r>
            <w:r>
              <w:rPr>
                <w:rFonts w:hint="eastAsia" w:ascii="仿宋_GB2312" w:hAnsi="仿宋_GB2312" w:eastAsia="仿宋_GB2312" w:cs="仿宋_GB2312"/>
                <w:bCs/>
                <w:color w:val="auto"/>
                <w:kern w:val="0"/>
                <w:sz w:val="24"/>
                <w:szCs w:val="24"/>
                <w:highlight w:val="none"/>
                <w:lang w:eastAsia="zh-CN" w:bidi="ar"/>
              </w:rPr>
              <w:t>、</w:t>
            </w:r>
            <w:r>
              <w:rPr>
                <w:rFonts w:hint="eastAsia" w:ascii="仿宋_GB2312" w:hAnsi="仿宋_GB2312" w:eastAsia="仿宋_GB2312" w:cs="仿宋_GB2312"/>
                <w:bCs/>
                <w:color w:val="auto"/>
                <w:kern w:val="0"/>
                <w:sz w:val="24"/>
                <w:szCs w:val="24"/>
                <w:highlight w:val="none"/>
                <w:lang w:val="en-US" w:eastAsia="zh-CN" w:bidi="ar"/>
              </w:rPr>
              <w:t>标准及</w:t>
            </w:r>
            <w:r>
              <w:rPr>
                <w:rFonts w:hint="eastAsia" w:ascii="仿宋_GB2312" w:hAnsi="仿宋_GB2312" w:eastAsia="仿宋_GB2312" w:cs="仿宋_GB2312"/>
                <w:bCs/>
                <w:color w:val="auto"/>
                <w:kern w:val="0"/>
                <w:sz w:val="24"/>
                <w:szCs w:val="24"/>
                <w:highlight w:val="none"/>
                <w:lang w:bidi="ar"/>
              </w:rPr>
              <w:t>地方现行定额及相关造价政策法规；</w:t>
            </w:r>
          </w:p>
          <w:p w14:paraId="71464AA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bCs/>
                <w:color w:val="auto"/>
                <w:kern w:val="0"/>
                <w:sz w:val="24"/>
                <w:szCs w:val="24"/>
                <w:highlight w:val="none"/>
                <w:lang w:bidi="ar"/>
              </w:rPr>
            </w:pPr>
            <w:r>
              <w:rPr>
                <w:rFonts w:hint="eastAsia" w:ascii="仿宋_GB2312" w:hAnsi="仿宋_GB2312" w:eastAsia="仿宋_GB2312" w:cs="仿宋_GB2312"/>
                <w:bCs/>
                <w:color w:val="auto"/>
                <w:kern w:val="0"/>
                <w:sz w:val="24"/>
                <w:szCs w:val="24"/>
                <w:highlight w:val="none"/>
                <w:lang w:bidi="ar"/>
              </w:rPr>
              <w:t>4</w:t>
            </w:r>
            <w:r>
              <w:rPr>
                <w:rFonts w:hint="eastAsia" w:ascii="仿宋_GB2312" w:hAnsi="仿宋_GB2312" w:eastAsia="仿宋_GB2312" w:cs="仿宋_GB2312"/>
                <w:bCs/>
                <w:color w:val="auto"/>
                <w:kern w:val="0"/>
                <w:sz w:val="24"/>
                <w:szCs w:val="24"/>
                <w:highlight w:val="none"/>
                <w:lang w:val="en-US" w:eastAsia="zh-CN" w:bidi="ar"/>
              </w:rPr>
              <w:t>.</w:t>
            </w:r>
            <w:r>
              <w:rPr>
                <w:rFonts w:hint="eastAsia" w:ascii="仿宋_GB2312" w:hAnsi="仿宋_GB2312" w:eastAsia="仿宋_GB2312" w:cs="仿宋_GB2312"/>
                <w:bCs/>
                <w:color w:val="auto"/>
                <w:kern w:val="0"/>
                <w:sz w:val="24"/>
                <w:szCs w:val="24"/>
                <w:highlight w:val="none"/>
                <w:lang w:bidi="ar"/>
              </w:rPr>
              <w:t>能独立完成预结算编制工作，具备成本核算及成本分析的基本能力；</w:t>
            </w:r>
          </w:p>
          <w:p w14:paraId="41ACEDB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bCs/>
                <w:color w:val="auto"/>
                <w:kern w:val="0"/>
                <w:sz w:val="24"/>
                <w:szCs w:val="24"/>
                <w:highlight w:val="none"/>
                <w:lang w:bidi="ar"/>
              </w:rPr>
            </w:pPr>
            <w:r>
              <w:rPr>
                <w:rFonts w:hint="eastAsia" w:ascii="仿宋_GB2312" w:hAnsi="仿宋_GB2312" w:eastAsia="仿宋_GB2312" w:cs="仿宋_GB2312"/>
                <w:bCs/>
                <w:color w:val="auto"/>
                <w:kern w:val="0"/>
                <w:sz w:val="24"/>
                <w:szCs w:val="24"/>
                <w:highlight w:val="none"/>
                <w:lang w:bidi="ar"/>
              </w:rPr>
              <w:t>5</w:t>
            </w:r>
            <w:r>
              <w:rPr>
                <w:rFonts w:hint="eastAsia" w:ascii="仿宋_GB2312" w:hAnsi="仿宋_GB2312" w:eastAsia="仿宋_GB2312" w:cs="仿宋_GB2312"/>
                <w:bCs/>
                <w:color w:val="auto"/>
                <w:kern w:val="0"/>
                <w:sz w:val="24"/>
                <w:szCs w:val="24"/>
                <w:highlight w:val="none"/>
                <w:lang w:val="en-US" w:eastAsia="zh-CN" w:bidi="ar"/>
              </w:rPr>
              <w:t>.</w:t>
            </w:r>
            <w:r>
              <w:rPr>
                <w:rFonts w:hint="eastAsia" w:ascii="仿宋_GB2312" w:hAnsi="仿宋_GB2312" w:eastAsia="仿宋_GB2312" w:cs="仿宋_GB2312"/>
                <w:bCs/>
                <w:color w:val="auto"/>
                <w:kern w:val="0"/>
                <w:sz w:val="24"/>
                <w:szCs w:val="24"/>
                <w:highlight w:val="none"/>
                <w:lang w:bidi="ar"/>
              </w:rPr>
              <w:t>熟练使用新标杆、广联达等计价及算量软件，熟练应用Excel进行成本数据处理；</w:t>
            </w:r>
          </w:p>
          <w:p w14:paraId="6F7BCA8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bCs/>
                <w:color w:val="auto"/>
                <w:kern w:val="0"/>
                <w:sz w:val="24"/>
                <w:szCs w:val="24"/>
                <w:highlight w:val="none"/>
                <w:lang w:bidi="ar"/>
              </w:rPr>
              <w:t>6</w:t>
            </w:r>
            <w:r>
              <w:rPr>
                <w:rFonts w:hint="eastAsia" w:ascii="仿宋_GB2312" w:hAnsi="仿宋_GB2312" w:eastAsia="仿宋_GB2312" w:cs="仿宋_GB2312"/>
                <w:bCs/>
                <w:color w:val="auto"/>
                <w:kern w:val="0"/>
                <w:sz w:val="24"/>
                <w:szCs w:val="24"/>
                <w:highlight w:val="none"/>
                <w:lang w:val="en-US" w:eastAsia="zh-CN" w:bidi="ar"/>
              </w:rPr>
              <w:t>.</w:t>
            </w:r>
            <w:r>
              <w:rPr>
                <w:rFonts w:hint="eastAsia" w:ascii="仿宋_GB2312" w:hAnsi="仿宋_GB2312" w:eastAsia="仿宋_GB2312" w:cs="仿宋_GB2312"/>
                <w:bCs/>
                <w:color w:val="auto"/>
                <w:kern w:val="0"/>
                <w:sz w:val="24"/>
                <w:szCs w:val="24"/>
                <w:highlight w:val="none"/>
                <w:lang w:bidi="ar"/>
              </w:rPr>
              <w:t>具备良好的沟通协调能力</w:t>
            </w:r>
            <w:r>
              <w:rPr>
                <w:rFonts w:hint="eastAsia" w:ascii="仿宋_GB2312" w:hAnsi="仿宋_GB2312" w:eastAsia="仿宋_GB2312" w:cs="仿宋_GB2312"/>
                <w:bCs/>
                <w:color w:val="auto"/>
                <w:kern w:val="0"/>
                <w:sz w:val="24"/>
                <w:szCs w:val="24"/>
                <w:highlight w:val="none"/>
                <w:lang w:eastAsia="zh-CN" w:bidi="ar"/>
              </w:rPr>
              <w:t>，具</w:t>
            </w:r>
            <w:r>
              <w:rPr>
                <w:rFonts w:hint="eastAsia" w:ascii="仿宋_GB2312" w:hAnsi="仿宋_GB2312" w:eastAsia="仿宋_GB2312" w:cs="仿宋_GB2312"/>
                <w:bCs/>
                <w:color w:val="auto"/>
                <w:kern w:val="0"/>
                <w:sz w:val="24"/>
                <w:szCs w:val="24"/>
                <w:highlight w:val="none"/>
                <w:lang w:bidi="ar"/>
              </w:rPr>
              <w:t>有成本管控意识，工作细致、责任心强。</w:t>
            </w:r>
          </w:p>
        </w:tc>
        <w:tc>
          <w:tcPr>
            <w:tcW w:w="331" w:type="pct"/>
            <w:tcBorders>
              <w:top w:val="single" w:color="auto" w:sz="4" w:space="0"/>
              <w:left w:val="single" w:color="auto" w:sz="4" w:space="0"/>
              <w:bottom w:val="single" w:color="auto" w:sz="4" w:space="0"/>
              <w:right w:val="single" w:color="auto" w:sz="4" w:space="0"/>
            </w:tcBorders>
            <w:noWrap w:val="0"/>
            <w:vAlign w:val="center"/>
          </w:tcPr>
          <w:p w14:paraId="6C9577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2人</w:t>
            </w:r>
          </w:p>
        </w:tc>
        <w:tc>
          <w:tcPr>
            <w:tcW w:w="450" w:type="pct"/>
            <w:tcBorders>
              <w:top w:val="single" w:color="auto" w:sz="4" w:space="0"/>
              <w:left w:val="single" w:color="auto" w:sz="4" w:space="0"/>
              <w:bottom w:val="single" w:color="auto" w:sz="4" w:space="0"/>
              <w:right w:val="single" w:color="auto" w:sz="4" w:space="0"/>
            </w:tcBorders>
            <w:noWrap w:val="0"/>
            <w:vAlign w:val="center"/>
          </w:tcPr>
          <w:p w14:paraId="1EC6E9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highlight w:val="none"/>
                <w:lang w:val="en-US" w:eastAsia="zh-CN"/>
              </w:rPr>
            </w:pPr>
            <w:r>
              <w:rPr>
                <w:rFonts w:hint="eastAsia" w:ascii="仿宋_GB2312" w:hAnsi="仿宋_GB2312" w:eastAsia="仿宋_GB2312" w:cs="仿宋_GB2312"/>
                <w:kern w:val="2"/>
                <w:sz w:val="24"/>
                <w:szCs w:val="24"/>
                <w:highlight w:val="none"/>
                <w:lang w:val="en-US" w:eastAsia="zh-CN"/>
              </w:rPr>
              <w:t>7万元/年（含个人四险部分</w:t>
            </w:r>
            <w:r>
              <w:rPr>
                <w:rFonts w:hint="eastAsia" w:ascii="仿宋_GB2312" w:hAnsi="仿宋_GB2312" w:eastAsia="仿宋_GB2312" w:cs="仿宋_GB2312"/>
                <w:color w:val="auto"/>
                <w:kern w:val="2"/>
                <w:sz w:val="24"/>
                <w:szCs w:val="24"/>
                <w:highlight w:val="none"/>
                <w:lang w:val="en-US" w:eastAsia="zh-CN" w:bidi="ar-SA"/>
              </w:rPr>
              <w:t>）</w:t>
            </w:r>
          </w:p>
        </w:tc>
        <w:tc>
          <w:tcPr>
            <w:tcW w:w="2697" w:type="pct"/>
            <w:tcBorders>
              <w:top w:val="single" w:color="auto" w:sz="4" w:space="0"/>
              <w:left w:val="single" w:color="auto" w:sz="4" w:space="0"/>
              <w:bottom w:val="single" w:color="auto" w:sz="4" w:space="0"/>
              <w:right w:val="single" w:color="auto" w:sz="4" w:space="0"/>
            </w:tcBorders>
            <w:noWrap w:val="0"/>
            <w:vAlign w:val="center"/>
          </w:tcPr>
          <w:p w14:paraId="7FD0B8C0">
            <w:pPr>
              <w:keepNext w:val="0"/>
              <w:keepLines w:val="0"/>
              <w:pageBreakBefore w:val="0"/>
              <w:widowControl/>
              <w:numPr>
                <w:ilvl w:val="0"/>
                <w:numId w:val="0"/>
              </w:numPr>
              <w:kinsoku/>
              <w:wordWrap/>
              <w:overflowPunct/>
              <w:topLinePunct w:val="0"/>
              <w:autoSpaceDE/>
              <w:autoSpaceDN/>
              <w:bidi w:val="0"/>
              <w:adjustRightInd/>
              <w:snapToGrid/>
              <w:spacing w:line="280" w:lineRule="exact"/>
              <w:ind w:left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eastAsia="仿宋_GB2312" w:cs="仿宋_GB2312"/>
                <w:color w:val="auto"/>
                <w:kern w:val="0"/>
                <w:sz w:val="24"/>
                <w:szCs w:val="24"/>
                <w:highlight w:val="none"/>
                <w:lang w:val="en-US" w:eastAsia="zh-CN" w:bidi="ar"/>
              </w:rPr>
              <w:t>负责工程项目投标报价编制、施工图预算、竣工结算及对审工作，确保预结算成果的准确性与合规性</w:t>
            </w:r>
            <w:r>
              <w:rPr>
                <w:rFonts w:hint="eastAsia" w:ascii="仿宋_GB2312" w:hAnsi="仿宋_GB2312" w:eastAsia="仿宋_GB2312" w:cs="仿宋_GB2312"/>
                <w:sz w:val="24"/>
                <w:szCs w:val="24"/>
                <w:highlight w:val="none"/>
                <w:vertAlign w:val="baseline"/>
                <w:lang w:val="en-US" w:eastAsia="zh-CN"/>
              </w:rPr>
              <w:t>。</w:t>
            </w:r>
          </w:p>
          <w:p w14:paraId="3F0AD7D9">
            <w:pPr>
              <w:keepNext w:val="0"/>
              <w:keepLines w:val="0"/>
              <w:pageBreakBefore w:val="0"/>
              <w:widowControl/>
              <w:numPr>
                <w:ilvl w:val="0"/>
                <w:numId w:val="0"/>
              </w:numPr>
              <w:kinsoku/>
              <w:wordWrap/>
              <w:overflowPunct/>
              <w:topLinePunct w:val="0"/>
              <w:autoSpaceDE/>
              <w:autoSpaceDN/>
              <w:bidi w:val="0"/>
              <w:adjustRightInd/>
              <w:snapToGrid/>
              <w:spacing w:line="280" w:lineRule="exact"/>
              <w:ind w:left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2.</w:t>
            </w:r>
            <w:r>
              <w:rPr>
                <w:rFonts w:hint="eastAsia" w:ascii="仿宋_GB2312" w:hAnsi="仿宋_GB2312" w:eastAsia="仿宋_GB2312" w:cs="仿宋_GB2312"/>
                <w:color w:val="auto"/>
                <w:kern w:val="0"/>
                <w:sz w:val="24"/>
                <w:szCs w:val="24"/>
                <w:highlight w:val="none"/>
                <w:lang w:val="en-US" w:eastAsia="zh-CN" w:bidi="ar"/>
              </w:rPr>
              <w:t>参与项目前期成本测算，协助编制项目目标成本并分解至各责任部门</w:t>
            </w:r>
            <w:r>
              <w:rPr>
                <w:rFonts w:hint="eastAsia" w:ascii="仿宋_GB2312" w:hAnsi="仿宋_GB2312" w:eastAsia="仿宋_GB2312" w:cs="仿宋_GB2312"/>
                <w:sz w:val="24"/>
                <w:szCs w:val="24"/>
                <w:highlight w:val="none"/>
                <w:vertAlign w:val="baseline"/>
                <w:lang w:val="en-US" w:eastAsia="zh-CN"/>
              </w:rPr>
              <w:t>。</w:t>
            </w:r>
          </w:p>
          <w:p w14:paraId="0C5A7B48">
            <w:pPr>
              <w:keepNext w:val="0"/>
              <w:keepLines w:val="0"/>
              <w:pageBreakBefore w:val="0"/>
              <w:widowControl/>
              <w:numPr>
                <w:ilvl w:val="0"/>
                <w:numId w:val="0"/>
              </w:numPr>
              <w:kinsoku/>
              <w:wordWrap/>
              <w:overflowPunct/>
              <w:topLinePunct w:val="0"/>
              <w:autoSpaceDE/>
              <w:autoSpaceDN/>
              <w:bidi w:val="0"/>
              <w:adjustRightInd/>
              <w:snapToGrid/>
              <w:spacing w:line="280" w:lineRule="exact"/>
              <w:ind w:left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参与施工过程中成本动态控制，定期收集实际成本数据，进行对比分析，发现异常及时上报</w:t>
            </w:r>
            <w:r>
              <w:rPr>
                <w:rFonts w:hint="eastAsia" w:ascii="仿宋_GB2312" w:hAnsi="仿宋_GB2312" w:eastAsia="仿宋_GB2312" w:cs="仿宋_GB2312"/>
                <w:sz w:val="24"/>
                <w:szCs w:val="24"/>
                <w:highlight w:val="none"/>
                <w:vertAlign w:val="baseline"/>
                <w:lang w:val="en-US" w:eastAsia="zh-CN"/>
              </w:rPr>
              <w:t>。</w:t>
            </w:r>
          </w:p>
          <w:p w14:paraId="02EDAEAC">
            <w:pPr>
              <w:keepNext w:val="0"/>
              <w:keepLines w:val="0"/>
              <w:pageBreakBefore w:val="0"/>
              <w:widowControl/>
              <w:numPr>
                <w:ilvl w:val="0"/>
                <w:numId w:val="0"/>
              </w:numPr>
              <w:kinsoku/>
              <w:wordWrap/>
              <w:overflowPunct/>
              <w:topLinePunct w:val="0"/>
              <w:autoSpaceDE/>
              <w:autoSpaceDN/>
              <w:bidi w:val="0"/>
              <w:adjustRightInd/>
              <w:snapToGrid/>
              <w:spacing w:line="280" w:lineRule="exact"/>
              <w:ind w:left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4.</w:t>
            </w:r>
            <w:r>
              <w:rPr>
                <w:rFonts w:hint="eastAsia" w:ascii="仿宋_GB2312" w:hAnsi="仿宋_GB2312" w:eastAsia="仿宋_GB2312" w:cs="仿宋_GB2312"/>
                <w:color w:val="auto"/>
                <w:kern w:val="0"/>
                <w:sz w:val="24"/>
                <w:szCs w:val="24"/>
                <w:highlight w:val="none"/>
                <w:lang w:val="en-US" w:eastAsia="zh-CN" w:bidi="ar"/>
              </w:rPr>
              <w:t>参与分包、材料采购等合同经济条款的审核，配合完成分包工程款的计量与结算审核</w:t>
            </w:r>
            <w:r>
              <w:rPr>
                <w:rFonts w:hint="eastAsia" w:ascii="仿宋_GB2312" w:hAnsi="仿宋_GB2312" w:eastAsia="仿宋_GB2312" w:cs="仿宋_GB2312"/>
                <w:sz w:val="24"/>
                <w:szCs w:val="24"/>
                <w:highlight w:val="none"/>
                <w:vertAlign w:val="baseline"/>
                <w:lang w:val="en-US" w:eastAsia="zh-CN"/>
              </w:rPr>
              <w:t>。</w:t>
            </w:r>
          </w:p>
          <w:p w14:paraId="6970C286">
            <w:pPr>
              <w:keepNext w:val="0"/>
              <w:keepLines w:val="0"/>
              <w:pageBreakBefore w:val="0"/>
              <w:widowControl/>
              <w:numPr>
                <w:ilvl w:val="0"/>
                <w:numId w:val="0"/>
              </w:numPr>
              <w:kinsoku/>
              <w:wordWrap/>
              <w:overflowPunct/>
              <w:topLinePunct w:val="0"/>
              <w:autoSpaceDE/>
              <w:autoSpaceDN/>
              <w:bidi w:val="0"/>
              <w:adjustRightInd/>
              <w:snapToGrid/>
              <w:spacing w:line="280" w:lineRule="exact"/>
              <w:ind w:left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5.</w:t>
            </w:r>
            <w:r>
              <w:rPr>
                <w:rFonts w:hint="eastAsia" w:ascii="仿宋_GB2312" w:hAnsi="仿宋_GB2312" w:eastAsia="仿宋_GB2312" w:cs="仿宋_GB2312"/>
                <w:color w:val="auto"/>
                <w:kern w:val="0"/>
                <w:sz w:val="24"/>
                <w:szCs w:val="24"/>
                <w:highlight w:val="none"/>
                <w:lang w:val="en-US" w:eastAsia="zh-CN" w:bidi="ar"/>
              </w:rPr>
              <w:t>负责收集、整理项目成本数据，协助建立并维护内部成本数据库</w:t>
            </w:r>
            <w:r>
              <w:rPr>
                <w:rFonts w:hint="eastAsia" w:ascii="仿宋_GB2312" w:hAnsi="仿宋_GB2312" w:eastAsia="仿宋_GB2312" w:cs="仿宋_GB2312"/>
                <w:sz w:val="24"/>
                <w:szCs w:val="24"/>
                <w:highlight w:val="none"/>
                <w:vertAlign w:val="baseline"/>
                <w:lang w:val="en-US" w:eastAsia="zh-CN"/>
              </w:rPr>
              <w:t>。</w:t>
            </w:r>
          </w:p>
          <w:p w14:paraId="74F6B7D0">
            <w:pPr>
              <w:keepNext w:val="0"/>
              <w:keepLines w:val="0"/>
              <w:pageBreakBefore w:val="0"/>
              <w:widowControl/>
              <w:numPr>
                <w:ilvl w:val="0"/>
                <w:numId w:val="0"/>
              </w:numPr>
              <w:kinsoku/>
              <w:wordWrap/>
              <w:overflowPunct/>
              <w:topLinePunct w:val="0"/>
              <w:autoSpaceDE/>
              <w:autoSpaceDN/>
              <w:bidi w:val="0"/>
              <w:adjustRightInd/>
              <w:snapToGrid/>
              <w:spacing w:line="280" w:lineRule="exact"/>
              <w:ind w:left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6.</w:t>
            </w:r>
            <w:r>
              <w:rPr>
                <w:rFonts w:hint="eastAsia" w:ascii="仿宋_GB2312" w:hAnsi="仿宋_GB2312" w:eastAsia="仿宋_GB2312" w:cs="仿宋_GB2312"/>
                <w:color w:val="auto"/>
                <w:kern w:val="0"/>
                <w:sz w:val="24"/>
                <w:szCs w:val="24"/>
                <w:highlight w:val="none"/>
                <w:lang w:val="en-US" w:eastAsia="zh-CN" w:bidi="ar"/>
              </w:rPr>
              <w:t>参与项目成本核算工作，收集、归集项目实际成本数据，协助完成与目标成本的对比分析。</w:t>
            </w:r>
          </w:p>
          <w:p w14:paraId="25D26390">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left"/>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color w:val="auto"/>
                <w:kern w:val="0"/>
                <w:sz w:val="24"/>
                <w:szCs w:val="24"/>
                <w:highlight w:val="none"/>
                <w:lang w:val="en-US" w:eastAsia="zh-CN" w:bidi="ar"/>
              </w:rPr>
              <w:t>7.</w:t>
            </w:r>
            <w:r>
              <w:rPr>
                <w:rFonts w:hint="eastAsia" w:ascii="仿宋_GB2312" w:hAnsi="仿宋_GB2312" w:eastAsia="仿宋_GB2312" w:cs="仿宋_GB2312"/>
                <w:color w:val="auto"/>
                <w:kern w:val="0"/>
                <w:sz w:val="24"/>
                <w:szCs w:val="24"/>
                <w:highlight w:val="none"/>
                <w:lang w:val="en-US" w:eastAsia="zh-CN" w:bidi="ar"/>
              </w:rPr>
              <w:t>完成领导交办的其他相关工作。</w:t>
            </w:r>
          </w:p>
        </w:tc>
      </w:tr>
      <w:tr w14:paraId="490CF46A">
        <w:tblPrEx>
          <w:tblCellMar>
            <w:top w:w="0" w:type="dxa"/>
            <w:left w:w="108" w:type="dxa"/>
            <w:bottom w:w="0" w:type="dxa"/>
            <w:right w:w="108" w:type="dxa"/>
          </w:tblCellMar>
        </w:tblPrEx>
        <w:trPr>
          <w:cantSplit/>
          <w:trHeight w:val="145" w:hRule="atLeast"/>
        </w:trPr>
        <w:tc>
          <w:tcPr>
            <w:tcW w:w="454" w:type="pct"/>
            <w:tcBorders>
              <w:top w:val="single" w:color="auto" w:sz="4" w:space="0"/>
              <w:left w:val="single" w:color="auto" w:sz="4" w:space="0"/>
              <w:bottom w:val="single" w:color="auto" w:sz="4" w:space="0"/>
              <w:right w:val="single" w:color="auto" w:sz="4" w:space="0"/>
            </w:tcBorders>
            <w:noWrap w:val="0"/>
            <w:vAlign w:val="center"/>
          </w:tcPr>
          <w:p w14:paraId="79C3B065">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center"/>
              <w:rPr>
                <w:rFonts w:hint="eastAsia" w:ascii="仿宋_GB2312" w:hAnsi="仿宋" w:eastAsia="仿宋_GB2312"/>
                <w:sz w:val="32"/>
                <w:szCs w:val="32"/>
                <w:lang w:val="en-US" w:eastAsia="zh-CN"/>
              </w:rPr>
            </w:pPr>
            <w:r>
              <w:rPr>
                <w:rFonts w:hint="eastAsia" w:ascii="仿宋_GB2312" w:hAnsi="仿宋_GB2312" w:eastAsia="仿宋_GB2312" w:cs="仿宋_GB2312"/>
                <w:kern w:val="2"/>
                <w:sz w:val="24"/>
                <w:szCs w:val="24"/>
                <w:highlight w:val="none"/>
                <w:lang w:val="en-US" w:eastAsia="zh-CN"/>
              </w:rPr>
              <w:t>会计</w:t>
            </w:r>
          </w:p>
        </w:tc>
        <w:tc>
          <w:tcPr>
            <w:tcW w:w="1065" w:type="pct"/>
            <w:tcBorders>
              <w:top w:val="single" w:color="auto" w:sz="4" w:space="0"/>
              <w:left w:val="single" w:color="auto" w:sz="4" w:space="0"/>
              <w:bottom w:val="single" w:color="auto" w:sz="4" w:space="0"/>
              <w:right w:val="single" w:color="auto" w:sz="4" w:space="0"/>
            </w:tcBorders>
            <w:noWrap/>
            <w:vAlign w:val="center"/>
          </w:tcPr>
          <w:p w14:paraId="7787B294">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default"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1.3年及以上施工企业财务工作经验，能单独进行项目财务管理工作；</w:t>
            </w:r>
          </w:p>
          <w:p w14:paraId="6105CCF9">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default"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2.年龄35周岁以下、全日制大专及以上学历（会计与审计类、财务管理等相关专业）；</w:t>
            </w:r>
          </w:p>
          <w:p w14:paraId="5AA55886">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default"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3.初级会计职称（持有中级及以上职称者优先考虑）；</w:t>
            </w:r>
          </w:p>
          <w:p w14:paraId="766A5504">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default"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4.精通会计原理和财务法规，具备扎实的财务知识基础，熟悉财务软件（金蝶、用友等）；</w:t>
            </w:r>
          </w:p>
          <w:p w14:paraId="0E3BB3B1">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5.</w:t>
            </w:r>
            <w:r>
              <w:rPr>
                <w:rFonts w:hint="default" w:ascii="仿宋_GB2312" w:hAnsi="仿宋_GB2312" w:eastAsia="仿宋_GB2312" w:cs="仿宋_GB2312"/>
                <w:kern w:val="2"/>
                <w:sz w:val="24"/>
                <w:szCs w:val="24"/>
                <w:highlight w:val="none"/>
                <w:lang w:val="en-US" w:eastAsia="zh-CN"/>
              </w:rPr>
              <w:t>遵守职业道德，保</w:t>
            </w:r>
            <w:r>
              <w:rPr>
                <w:rFonts w:hint="eastAsia" w:ascii="仿宋_GB2312" w:hAnsi="仿宋_GB2312" w:eastAsia="仿宋_GB2312" w:cs="仿宋_GB2312"/>
                <w:kern w:val="2"/>
                <w:sz w:val="24"/>
                <w:szCs w:val="24"/>
                <w:highlight w:val="none"/>
                <w:lang w:val="en-US" w:eastAsia="zh-CN"/>
              </w:rPr>
              <w:t>守</w:t>
            </w:r>
            <w:r>
              <w:rPr>
                <w:rFonts w:hint="default" w:ascii="仿宋_GB2312" w:hAnsi="仿宋_GB2312" w:eastAsia="仿宋_GB2312" w:cs="仿宋_GB2312"/>
                <w:kern w:val="2"/>
                <w:sz w:val="24"/>
                <w:szCs w:val="24"/>
                <w:highlight w:val="none"/>
                <w:lang w:val="en-US" w:eastAsia="zh-CN"/>
              </w:rPr>
              <w:t>公司机密，确保财务信息的安全</w:t>
            </w:r>
            <w:r>
              <w:rPr>
                <w:rFonts w:hint="eastAsia" w:ascii="仿宋_GB2312" w:hAnsi="仿宋_GB2312" w:eastAsia="仿宋_GB2312" w:cs="仿宋_GB2312"/>
                <w:kern w:val="2"/>
                <w:sz w:val="24"/>
                <w:szCs w:val="24"/>
                <w:highlight w:val="none"/>
                <w:lang w:val="en-US" w:eastAsia="zh-CN"/>
              </w:rPr>
              <w:t>，</w:t>
            </w:r>
            <w:r>
              <w:rPr>
                <w:rFonts w:hint="default" w:ascii="仿宋_GB2312" w:hAnsi="仿宋_GB2312" w:eastAsia="仿宋_GB2312" w:cs="仿宋_GB2312"/>
                <w:kern w:val="2"/>
                <w:sz w:val="24"/>
                <w:szCs w:val="24"/>
                <w:highlight w:val="none"/>
                <w:lang w:val="en-US" w:eastAsia="zh-CN"/>
              </w:rPr>
              <w:t>具备良好的沟通协调能力和抗压能力</w:t>
            </w:r>
            <w:r>
              <w:rPr>
                <w:rFonts w:hint="eastAsia" w:ascii="仿宋_GB2312" w:hAnsi="仿宋_GB2312" w:eastAsia="仿宋_GB2312" w:cs="仿宋_GB2312"/>
                <w:kern w:val="2"/>
                <w:sz w:val="24"/>
                <w:szCs w:val="24"/>
                <w:highlight w:val="none"/>
                <w:lang w:val="en-US" w:eastAsia="zh-CN"/>
              </w:rPr>
              <w:t>。</w:t>
            </w:r>
          </w:p>
        </w:tc>
        <w:tc>
          <w:tcPr>
            <w:tcW w:w="331" w:type="pct"/>
            <w:tcBorders>
              <w:top w:val="single" w:color="auto" w:sz="4" w:space="0"/>
              <w:left w:val="single" w:color="auto" w:sz="4" w:space="0"/>
              <w:bottom w:val="single" w:color="auto" w:sz="4" w:space="0"/>
              <w:right w:val="single" w:color="auto" w:sz="4" w:space="0"/>
            </w:tcBorders>
            <w:noWrap w:val="0"/>
            <w:vAlign w:val="center"/>
          </w:tcPr>
          <w:p w14:paraId="2C82A1DC">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kern w:val="2"/>
                <w:sz w:val="24"/>
                <w:szCs w:val="24"/>
                <w:highlight w:val="none"/>
                <w:lang w:val="en-US" w:eastAsia="zh-CN"/>
              </w:rPr>
              <w:t>1人</w:t>
            </w:r>
          </w:p>
        </w:tc>
        <w:tc>
          <w:tcPr>
            <w:tcW w:w="450" w:type="pct"/>
            <w:tcBorders>
              <w:top w:val="single" w:color="auto" w:sz="4" w:space="0"/>
              <w:left w:val="single" w:color="auto" w:sz="4" w:space="0"/>
              <w:bottom w:val="single" w:color="auto" w:sz="4" w:space="0"/>
              <w:right w:val="single" w:color="auto" w:sz="4" w:space="0"/>
            </w:tcBorders>
            <w:noWrap w:val="0"/>
            <w:vAlign w:val="center"/>
          </w:tcPr>
          <w:p w14:paraId="668C62AA">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kern w:val="2"/>
                <w:sz w:val="24"/>
                <w:szCs w:val="24"/>
                <w:highlight w:val="none"/>
                <w:lang w:val="en-US" w:eastAsia="zh-CN"/>
              </w:rPr>
              <w:t>7.5万元/年</w:t>
            </w:r>
            <w:r>
              <w:rPr>
                <w:rFonts w:hint="eastAsia" w:ascii="仿宋_GB2312" w:hAnsi="仿宋_GB2312" w:eastAsia="仿宋_GB2312" w:cs="仿宋_GB2312"/>
                <w:color w:val="auto"/>
                <w:kern w:val="2"/>
                <w:sz w:val="24"/>
                <w:szCs w:val="24"/>
                <w:highlight w:val="none"/>
                <w:lang w:val="en-US" w:eastAsia="zh-CN" w:bidi="ar-SA"/>
              </w:rPr>
              <w:t>（含个人四险部分）</w:t>
            </w:r>
          </w:p>
        </w:tc>
        <w:tc>
          <w:tcPr>
            <w:tcW w:w="2697" w:type="pct"/>
            <w:tcBorders>
              <w:top w:val="single" w:color="auto" w:sz="4" w:space="0"/>
              <w:left w:val="single" w:color="auto" w:sz="4" w:space="0"/>
              <w:bottom w:val="single" w:color="auto" w:sz="4" w:space="0"/>
              <w:right w:val="single" w:color="auto" w:sz="4" w:space="0"/>
            </w:tcBorders>
            <w:noWrap w:val="0"/>
            <w:vAlign w:val="center"/>
          </w:tcPr>
          <w:p w14:paraId="060211A5">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1.</w:t>
            </w:r>
            <w:r>
              <w:rPr>
                <w:rFonts w:hint="eastAsia" w:ascii="仿宋_GB2312" w:hAnsi="仿宋_GB2312" w:eastAsia="仿宋_GB2312" w:cs="仿宋_GB2312"/>
                <w:kern w:val="2"/>
                <w:sz w:val="24"/>
                <w:szCs w:val="24"/>
                <w:highlight w:val="none"/>
                <w:lang w:val="en-US" w:eastAsia="zh-CN"/>
              </w:rPr>
              <w:t>负责项目银行账户管理</w:t>
            </w:r>
            <w:r>
              <w:rPr>
                <w:rFonts w:hint="eastAsia" w:ascii="仿宋_GB2312" w:hAnsi="仿宋_GB2312" w:eastAsia="仿宋_GB2312" w:cs="仿宋_GB2312"/>
                <w:sz w:val="24"/>
                <w:szCs w:val="24"/>
                <w:highlight w:val="none"/>
                <w:vertAlign w:val="baseline"/>
                <w:lang w:val="en-US" w:eastAsia="zh-CN"/>
              </w:rPr>
              <w:t>。</w:t>
            </w:r>
          </w:p>
          <w:p w14:paraId="097C6E14">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2.</w:t>
            </w:r>
            <w:r>
              <w:rPr>
                <w:rFonts w:hint="eastAsia" w:ascii="仿宋_GB2312" w:hAnsi="仿宋_GB2312" w:eastAsia="仿宋_GB2312" w:cs="仿宋_GB2312"/>
                <w:kern w:val="2"/>
                <w:sz w:val="24"/>
                <w:szCs w:val="24"/>
                <w:highlight w:val="none"/>
                <w:lang w:val="en-US" w:eastAsia="zh-CN"/>
              </w:rPr>
              <w:t>项目财务台账管理，做到日清月结</w:t>
            </w:r>
            <w:r>
              <w:rPr>
                <w:rFonts w:hint="eastAsia" w:ascii="仿宋_GB2312" w:hAnsi="仿宋_GB2312" w:eastAsia="仿宋_GB2312" w:cs="仿宋_GB2312"/>
                <w:sz w:val="24"/>
                <w:szCs w:val="24"/>
                <w:highlight w:val="none"/>
                <w:vertAlign w:val="baseline"/>
                <w:lang w:val="en-US" w:eastAsia="zh-CN"/>
              </w:rPr>
              <w:t>。</w:t>
            </w:r>
          </w:p>
          <w:p w14:paraId="338B4AF4">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3.</w:t>
            </w:r>
            <w:r>
              <w:rPr>
                <w:rFonts w:hint="eastAsia" w:ascii="仿宋_GB2312" w:hAnsi="仿宋_GB2312" w:eastAsia="仿宋_GB2312" w:cs="仿宋_GB2312"/>
                <w:kern w:val="2"/>
                <w:sz w:val="24"/>
                <w:szCs w:val="24"/>
                <w:highlight w:val="none"/>
                <w:lang w:val="en-US" w:eastAsia="zh-CN"/>
              </w:rPr>
              <w:t>配合合同及成本控制</w:t>
            </w:r>
            <w:r>
              <w:rPr>
                <w:rFonts w:hint="eastAsia" w:ascii="仿宋_GB2312" w:hAnsi="仿宋_GB2312" w:eastAsia="仿宋_GB2312" w:cs="仿宋_GB2312"/>
                <w:sz w:val="24"/>
                <w:szCs w:val="24"/>
                <w:highlight w:val="none"/>
                <w:vertAlign w:val="baseline"/>
                <w:lang w:val="en-US" w:eastAsia="zh-CN"/>
              </w:rPr>
              <w:t>。</w:t>
            </w:r>
          </w:p>
          <w:p w14:paraId="400F8E0B">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4.</w:t>
            </w:r>
            <w:r>
              <w:rPr>
                <w:rFonts w:hint="eastAsia" w:ascii="仿宋_GB2312" w:hAnsi="仿宋_GB2312" w:eastAsia="仿宋_GB2312" w:cs="仿宋_GB2312"/>
                <w:kern w:val="2"/>
                <w:sz w:val="24"/>
                <w:szCs w:val="24"/>
                <w:highlight w:val="none"/>
                <w:lang w:val="en-US" w:eastAsia="zh-CN"/>
              </w:rPr>
              <w:t>做好项目请款资料审核工作</w:t>
            </w:r>
            <w:r>
              <w:rPr>
                <w:rFonts w:hint="eastAsia" w:ascii="仿宋_GB2312" w:hAnsi="仿宋_GB2312" w:eastAsia="仿宋_GB2312" w:cs="仿宋_GB2312"/>
                <w:sz w:val="24"/>
                <w:szCs w:val="24"/>
                <w:highlight w:val="none"/>
                <w:vertAlign w:val="baseline"/>
                <w:lang w:val="en-US" w:eastAsia="zh-CN"/>
              </w:rPr>
              <w:t>。</w:t>
            </w:r>
          </w:p>
          <w:p w14:paraId="2AB94149">
            <w:pPr>
              <w:keepNext w:val="0"/>
              <w:keepLines w:val="0"/>
              <w:pageBreakBefore w:val="0"/>
              <w:widowControl/>
              <w:numPr>
                <w:ilvl w:val="0"/>
                <w:numId w:val="0"/>
              </w:numPr>
              <w:kinsoku/>
              <w:wordWrap/>
              <w:overflowPunct/>
              <w:topLinePunct w:val="0"/>
              <w:autoSpaceDE/>
              <w:autoSpaceDN/>
              <w:bidi w:val="0"/>
              <w:adjustRightInd/>
              <w:snapToGrid/>
              <w:spacing w:line="240" w:lineRule="exact"/>
              <w:jc w:val="both"/>
              <w:rPr>
                <w:rFonts w:hint="eastAsia"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5.</w:t>
            </w:r>
            <w:r>
              <w:rPr>
                <w:rFonts w:hint="eastAsia" w:ascii="仿宋_GB2312" w:hAnsi="仿宋_GB2312" w:eastAsia="仿宋_GB2312" w:cs="仿宋_GB2312"/>
                <w:kern w:val="2"/>
                <w:sz w:val="24"/>
                <w:szCs w:val="24"/>
                <w:highlight w:val="none"/>
                <w:lang w:val="en-US" w:eastAsia="zh-CN"/>
              </w:rPr>
              <w:t>参与公司经济运行分析</w:t>
            </w:r>
            <w:r>
              <w:rPr>
                <w:rFonts w:hint="eastAsia" w:ascii="仿宋_GB2312" w:hAnsi="仿宋_GB2312" w:eastAsia="仿宋_GB2312" w:cs="仿宋_GB2312"/>
                <w:sz w:val="24"/>
                <w:szCs w:val="24"/>
                <w:highlight w:val="none"/>
                <w:vertAlign w:val="baseline"/>
                <w:lang w:val="en-US" w:eastAsia="zh-CN"/>
              </w:rPr>
              <w:t>。</w:t>
            </w:r>
          </w:p>
          <w:p w14:paraId="5D64508E">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both"/>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kern w:val="2"/>
                <w:sz w:val="24"/>
                <w:szCs w:val="24"/>
                <w:highlight w:val="none"/>
                <w:lang w:val="en-US" w:eastAsia="zh-CN"/>
              </w:rPr>
              <w:t>6.</w:t>
            </w:r>
            <w:r>
              <w:rPr>
                <w:rFonts w:hint="eastAsia" w:ascii="仿宋_GB2312" w:hAnsi="仿宋_GB2312" w:eastAsia="仿宋_GB2312" w:cs="仿宋_GB2312"/>
                <w:kern w:val="2"/>
                <w:sz w:val="24"/>
                <w:szCs w:val="24"/>
                <w:highlight w:val="none"/>
                <w:lang w:val="en-US" w:eastAsia="zh-CN"/>
              </w:rPr>
              <w:t>完成领导交办的其他财务相关工作</w:t>
            </w:r>
            <w:r>
              <w:rPr>
                <w:rFonts w:hint="eastAsia" w:ascii="仿宋_GB2312" w:hAnsi="仿宋_GB2312" w:eastAsia="仿宋_GB2312" w:cs="仿宋_GB2312"/>
                <w:sz w:val="24"/>
                <w:szCs w:val="24"/>
                <w:highlight w:val="none"/>
                <w:vertAlign w:val="baseline"/>
                <w:lang w:val="en-US" w:eastAsia="zh-CN"/>
              </w:rPr>
              <w:t>。</w:t>
            </w:r>
          </w:p>
        </w:tc>
      </w:tr>
    </w:tbl>
    <w:p w14:paraId="75CB2EF3">
      <w:pPr>
        <w:jc w:val="center"/>
        <w:rPr>
          <w:rFonts w:hint="eastAsia" w:ascii="方正小标宋简体" w:hAnsi="方正小标宋简体" w:eastAsia="方正小标宋简体" w:cs="方正小标宋简体"/>
          <w:color w:val="auto"/>
          <w:sz w:val="36"/>
          <w:szCs w:val="36"/>
          <w:lang w:val="en-US" w:eastAsia="zh-CN"/>
        </w:rPr>
      </w:pPr>
    </w:p>
    <w:sectPr>
      <w:pgSz w:w="16838" w:h="11906" w:orient="landscape"/>
      <w:pgMar w:top="669"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4D6292"/>
    <w:rsid w:val="096146F9"/>
    <w:rsid w:val="0D0119A5"/>
    <w:rsid w:val="284D6292"/>
    <w:rsid w:val="5FCC404B"/>
    <w:rsid w:val="64B45D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9"/>
    <w:pPr>
      <w:keepNext/>
      <w:keepLines/>
      <w:outlineLvl w:val="1"/>
    </w:pPr>
    <w:rPr>
      <w:rFonts w:ascii="Arial" w:hAnsi="Arial" w:eastAsia="黑体"/>
      <w:bCs/>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3248</Words>
  <Characters>3388</Characters>
  <Lines>0</Lines>
  <Paragraphs>0</Paragraphs>
  <TotalTime>2</TotalTime>
  <ScaleCrop>false</ScaleCrop>
  <LinksUpToDate>false</LinksUpToDate>
  <CharactersWithSpaces>3388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2026-10-12T03:35:00Z</dcterms:created>
  <dc:creator>WPS_1729324911</dc:creator>
  <cp:lastModifiedBy>WPS_1729324911</cp:lastModifiedBy>
  <dcterms:modified xsi:type="dcterms:W3CDTF">2026-10-12T05:43:06Z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EC2156B71AFB4E00AEE8AC553168977A_13</vt:lpwstr>
  </property>
  <property fmtid="{D5CDD505-2E9C-101B-9397-08002B2CF9AE}" pid="4" name="KSOTemplateDocerSaveRecord">
    <vt:lpwstr>eyJoZGlkIjoiY2ExNzg5YzAzMmJlNDNlZmQ5NWZhNjk0YTJkOTdkYjgiLCJ1c2VySWQiOiIxNjQ3NDg0NDM5In0=</vt:lpwstr>
  </property>
</Properties>
</file>