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BA89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附件</w:t>
      </w:r>
    </w:p>
    <w:p w14:paraId="487EC24F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pacing w:val="8"/>
          <w:sz w:val="44"/>
          <w:szCs w:val="44"/>
          <w:highlight w:val="none"/>
          <w:u w:val="none"/>
          <w:shd w:val="clear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8"/>
          <w:sz w:val="44"/>
          <w:szCs w:val="44"/>
          <w:highlight w:val="none"/>
          <w:u w:val="none"/>
          <w:shd w:val="clear" w:fill="FFFFFF"/>
        </w:rPr>
        <w:t>门机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8"/>
          <w:sz w:val="44"/>
          <w:szCs w:val="44"/>
          <w:highlight w:val="none"/>
          <w:u w:val="none"/>
          <w:shd w:val="clear" w:fill="FFFFFF"/>
          <w:lang w:val="en-US" w:eastAsia="zh-CN"/>
        </w:rPr>
        <w:t>实操考核方案</w:t>
      </w:r>
    </w:p>
    <w:p w14:paraId="2C3D194B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pacing w:val="8"/>
          <w:sz w:val="44"/>
          <w:szCs w:val="44"/>
          <w:highlight w:val="none"/>
          <w:u w:val="none"/>
          <w:shd w:val="clear" w:fill="FFFFFF"/>
          <w:lang w:val="en-US" w:eastAsia="zh-CN"/>
        </w:rPr>
      </w:pPr>
    </w:p>
    <w:p w14:paraId="698215E6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32"/>
          <w:szCs w:val="32"/>
        </w:rPr>
        <w:t>门机吊起水桶曲线运行、定点停放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试题表如下</w:t>
      </w:r>
    </w:p>
    <w:p w14:paraId="39069231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drawing>
          <wp:inline distT="0" distB="0" distL="114300" distR="114300">
            <wp:extent cx="5591175" cy="2381885"/>
            <wp:effectExtent l="0" t="0" r="9525" b="18415"/>
            <wp:docPr id="2" name="图片 1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图片1"/>
                    <pic:cNvPicPr>
                      <a:picLocks noChangeAspect="1"/>
                    </pic:cNvPicPr>
                  </pic:nvPicPr>
                  <pic:blipFill>
                    <a:blip r:embed="rId4"/>
                    <a:srcRect b="26451"/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14:paraId="76491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946" w:type="dxa"/>
            <w:noWrap w:val="0"/>
            <w:vAlign w:val="top"/>
          </w:tcPr>
          <w:p w14:paraId="446E79AE">
            <w:pPr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t>S1</w:t>
            </w:r>
          </w:p>
        </w:tc>
        <w:tc>
          <w:tcPr>
            <w:tcW w:w="947" w:type="dxa"/>
            <w:noWrap w:val="0"/>
            <w:vAlign w:val="top"/>
          </w:tcPr>
          <w:p w14:paraId="28D13BFF">
            <w:pPr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t>S2</w:t>
            </w:r>
          </w:p>
        </w:tc>
        <w:tc>
          <w:tcPr>
            <w:tcW w:w="947" w:type="dxa"/>
            <w:noWrap w:val="0"/>
            <w:vAlign w:val="top"/>
          </w:tcPr>
          <w:p w14:paraId="724ACDAE">
            <w:pPr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t>S3</w:t>
            </w:r>
          </w:p>
        </w:tc>
        <w:tc>
          <w:tcPr>
            <w:tcW w:w="947" w:type="dxa"/>
            <w:noWrap w:val="0"/>
            <w:vAlign w:val="top"/>
          </w:tcPr>
          <w:p w14:paraId="1831CDDD">
            <w:pPr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t>S4</w:t>
            </w:r>
          </w:p>
        </w:tc>
        <w:tc>
          <w:tcPr>
            <w:tcW w:w="947" w:type="dxa"/>
            <w:noWrap w:val="0"/>
            <w:vAlign w:val="top"/>
          </w:tcPr>
          <w:p w14:paraId="2FE4A8F2">
            <w:pPr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t>S5</w:t>
            </w:r>
          </w:p>
        </w:tc>
        <w:tc>
          <w:tcPr>
            <w:tcW w:w="947" w:type="dxa"/>
            <w:noWrap w:val="0"/>
            <w:vAlign w:val="top"/>
          </w:tcPr>
          <w:p w14:paraId="6EC34267">
            <w:pPr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t>S6</w:t>
            </w:r>
          </w:p>
        </w:tc>
        <w:tc>
          <w:tcPr>
            <w:tcW w:w="947" w:type="dxa"/>
            <w:noWrap w:val="0"/>
            <w:vAlign w:val="top"/>
          </w:tcPr>
          <w:p w14:paraId="60DEC1D6">
            <w:pPr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t>D1</w:t>
            </w:r>
          </w:p>
        </w:tc>
        <w:tc>
          <w:tcPr>
            <w:tcW w:w="947" w:type="dxa"/>
            <w:noWrap w:val="0"/>
            <w:vAlign w:val="top"/>
          </w:tcPr>
          <w:p w14:paraId="53BAE72E">
            <w:pPr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t>D2</w:t>
            </w:r>
          </w:p>
        </w:tc>
        <w:tc>
          <w:tcPr>
            <w:tcW w:w="947" w:type="dxa"/>
            <w:noWrap w:val="0"/>
            <w:vAlign w:val="top"/>
          </w:tcPr>
          <w:p w14:paraId="0C576414">
            <w:pPr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t>D3</w:t>
            </w:r>
          </w:p>
        </w:tc>
      </w:tr>
      <w:tr w14:paraId="16A8FF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6" w:type="dxa"/>
            <w:noWrap w:val="0"/>
            <w:vAlign w:val="top"/>
          </w:tcPr>
          <w:p w14:paraId="4902CF70">
            <w:pPr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947" w:type="dxa"/>
            <w:noWrap w:val="0"/>
            <w:vAlign w:val="top"/>
          </w:tcPr>
          <w:p w14:paraId="609CB361">
            <w:pPr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947" w:type="dxa"/>
            <w:noWrap w:val="0"/>
            <w:vAlign w:val="top"/>
          </w:tcPr>
          <w:p w14:paraId="31A10277">
            <w:pPr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t>3.5</w:t>
            </w:r>
          </w:p>
        </w:tc>
        <w:tc>
          <w:tcPr>
            <w:tcW w:w="947" w:type="dxa"/>
            <w:noWrap w:val="0"/>
            <w:vAlign w:val="top"/>
          </w:tcPr>
          <w:p w14:paraId="13700994">
            <w:pPr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947" w:type="dxa"/>
            <w:noWrap w:val="0"/>
            <w:vAlign w:val="top"/>
          </w:tcPr>
          <w:p w14:paraId="12FE095E">
            <w:pPr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t>2.5</w:t>
            </w:r>
          </w:p>
        </w:tc>
        <w:tc>
          <w:tcPr>
            <w:tcW w:w="947" w:type="dxa"/>
            <w:noWrap w:val="0"/>
            <w:vAlign w:val="top"/>
          </w:tcPr>
          <w:p w14:paraId="7FB05CD7">
            <w:pPr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947" w:type="dxa"/>
            <w:noWrap w:val="0"/>
            <w:vAlign w:val="top"/>
          </w:tcPr>
          <w:p w14:paraId="5ED08DBA">
            <w:pPr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947" w:type="dxa"/>
            <w:noWrap w:val="0"/>
            <w:vAlign w:val="top"/>
          </w:tcPr>
          <w:p w14:paraId="47BD5B8F">
            <w:pPr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t>1.1</w:t>
            </w:r>
          </w:p>
        </w:tc>
        <w:tc>
          <w:tcPr>
            <w:tcW w:w="947" w:type="dxa"/>
            <w:noWrap w:val="0"/>
            <w:vAlign w:val="top"/>
          </w:tcPr>
          <w:p w14:paraId="6E52566B">
            <w:pPr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t>1.2</w:t>
            </w:r>
          </w:p>
        </w:tc>
      </w:tr>
      <w:tr w14:paraId="55935B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8522" w:type="dxa"/>
            <w:gridSpan w:val="9"/>
            <w:noWrap w:val="0"/>
            <w:vAlign w:val="top"/>
          </w:tcPr>
          <w:p w14:paraId="57479518">
            <w:pPr>
              <w:spacing w:line="520" w:lineRule="exact"/>
              <w:jc w:val="left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t>注：单位为m</w:t>
            </w:r>
          </w:p>
        </w:tc>
      </w:tr>
    </w:tbl>
    <w:p w14:paraId="69F7AB1C">
      <w:pPr>
        <w:spacing w:line="52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分值：</w:t>
      </w:r>
      <w:r>
        <w:rPr>
          <w:rFonts w:ascii="仿宋_GB2312" w:hAnsi="仿宋_GB2312" w:eastAsia="仿宋_GB2312" w:cs="仿宋_GB2312"/>
          <w:sz w:val="32"/>
          <w:szCs w:val="32"/>
        </w:rPr>
        <w:t>100</w:t>
      </w:r>
      <w:r>
        <w:rPr>
          <w:rFonts w:hint="eastAsia" w:ascii="仿宋_GB2312" w:hAnsi="仿宋_GB2312" w:eastAsia="仿宋_GB2312" w:cs="仿宋_GB2312"/>
          <w:sz w:val="32"/>
          <w:szCs w:val="32"/>
        </w:rPr>
        <w:t>分。</w:t>
      </w:r>
      <w:r>
        <w:rPr>
          <w:rFonts w:ascii="仿宋_GB2312" w:hAnsi="仿宋_GB2312" w:eastAsia="仿宋_GB2312" w:cs="仿宋_GB2312"/>
          <w:sz w:val="32"/>
          <w:szCs w:val="32"/>
        </w:rPr>
        <w:t xml:space="preserve">  </w:t>
      </w:r>
    </w:p>
    <w:p w14:paraId="72A2DE57">
      <w:pPr>
        <w:spacing w:line="52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竞赛时间：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</w:rPr>
        <w:t>分钟，计时从鸣笛开始吊起圆桶到考试结束鸣笛为止。</w:t>
      </w:r>
    </w:p>
    <w:p w14:paraId="1DC73F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操作步骤：接指挥信号后，将圆桶由</w:t>
      </w:r>
      <w:r>
        <w:rPr>
          <w:rFonts w:ascii="仿宋_GB2312" w:hAnsi="仿宋_GB2312" w:eastAsia="仿宋_GB2312" w:cs="仿宋_GB2312"/>
          <w:sz w:val="32"/>
          <w:szCs w:val="32"/>
        </w:rPr>
        <w:t>A</w:t>
      </w:r>
      <w:r>
        <w:rPr>
          <w:rFonts w:hint="eastAsia" w:ascii="仿宋_GB2312" w:hAnsi="仿宋_GB2312" w:eastAsia="仿宋_GB2312" w:cs="仿宋_GB2312"/>
          <w:sz w:val="32"/>
          <w:szCs w:val="32"/>
        </w:rPr>
        <w:t>处吊离地面</w:t>
      </w:r>
      <w:r>
        <w:rPr>
          <w:rFonts w:ascii="仿宋_GB2312" w:hAnsi="仿宋_GB2312" w:eastAsia="仿宋_GB2312" w:cs="仿宋_GB2312"/>
          <w:sz w:val="32"/>
          <w:szCs w:val="32"/>
        </w:rPr>
        <w:t>1000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-1500</w:t>
      </w:r>
      <w:r>
        <w:rPr>
          <w:rFonts w:ascii="仿宋_GB2312" w:hAnsi="仿宋_GB2312" w:eastAsia="仿宋_GB2312" w:cs="仿宋_GB2312"/>
          <w:sz w:val="32"/>
          <w:szCs w:val="32"/>
        </w:rPr>
        <w:t>mm</w:t>
      </w:r>
      <w:r>
        <w:rPr>
          <w:rFonts w:hint="eastAsia" w:ascii="仿宋_GB2312" w:hAnsi="仿宋_GB2312" w:eastAsia="仿宋_GB2312" w:cs="仿宋_GB2312"/>
          <w:sz w:val="32"/>
          <w:szCs w:val="32"/>
        </w:rPr>
        <w:t>，按图示路线水平运行后，行至</w:t>
      </w:r>
      <w:r>
        <w:rPr>
          <w:rFonts w:ascii="仿宋_GB2312" w:hAnsi="仿宋_GB2312" w:eastAsia="仿宋_GB2312" w:cs="仿宋_GB2312"/>
          <w:sz w:val="32"/>
          <w:szCs w:val="32"/>
        </w:rPr>
        <w:t>B</w:t>
      </w:r>
      <w:r>
        <w:rPr>
          <w:rFonts w:hint="eastAsia" w:ascii="仿宋_GB2312" w:hAnsi="仿宋_GB2312" w:eastAsia="仿宋_GB2312" w:cs="仿宋_GB2312"/>
          <w:sz w:val="32"/>
          <w:szCs w:val="32"/>
        </w:rPr>
        <w:t>处上方下降，一次放入</w:t>
      </w:r>
      <w:r>
        <w:rPr>
          <w:rFonts w:ascii="仿宋_GB2312" w:hAnsi="仿宋_GB2312" w:eastAsia="仿宋_GB2312" w:cs="仿宋_GB2312"/>
          <w:sz w:val="32"/>
          <w:szCs w:val="32"/>
        </w:rPr>
        <w:t>B</w:t>
      </w:r>
      <w:r>
        <w:rPr>
          <w:rFonts w:hint="eastAsia" w:ascii="仿宋_GB2312" w:hAnsi="仿宋_GB2312" w:eastAsia="仿宋_GB2312" w:cs="仿宋_GB2312"/>
          <w:sz w:val="32"/>
          <w:szCs w:val="32"/>
        </w:rPr>
        <w:t>圆内。再将圆桶由</w:t>
      </w:r>
      <w:r>
        <w:rPr>
          <w:rFonts w:ascii="仿宋_GB2312" w:hAnsi="仿宋_GB2312" w:eastAsia="仿宋_GB2312" w:cs="仿宋_GB2312"/>
          <w:sz w:val="32"/>
          <w:szCs w:val="32"/>
        </w:rPr>
        <w:t>B</w:t>
      </w:r>
      <w:r>
        <w:rPr>
          <w:rFonts w:hint="eastAsia" w:ascii="仿宋_GB2312" w:hAnsi="仿宋_GB2312" w:eastAsia="仿宋_GB2312" w:cs="仿宋_GB2312"/>
          <w:sz w:val="32"/>
          <w:szCs w:val="32"/>
        </w:rPr>
        <w:t>处吊起，先后放入</w:t>
      </w:r>
      <w:r>
        <w:rPr>
          <w:rFonts w:ascii="仿宋_GB2312" w:hAnsi="仿宋_GB2312" w:eastAsia="仿宋_GB2312" w:cs="仿宋_GB2312"/>
          <w:sz w:val="32"/>
          <w:szCs w:val="32"/>
        </w:rPr>
        <w:t>C</w:t>
      </w:r>
      <w:r>
        <w:rPr>
          <w:rFonts w:hint="eastAsia" w:ascii="仿宋_GB2312" w:hAnsi="仿宋_GB2312" w:eastAsia="仿宋_GB2312" w:cs="仿宋_GB2312"/>
          <w:sz w:val="32"/>
          <w:szCs w:val="32"/>
        </w:rPr>
        <w:t>圆、</w:t>
      </w:r>
      <w:r>
        <w:rPr>
          <w:rFonts w:ascii="仿宋_GB2312" w:hAnsi="仿宋_GB2312" w:eastAsia="仿宋_GB2312" w:cs="仿宋_GB2312"/>
          <w:sz w:val="32"/>
          <w:szCs w:val="32"/>
        </w:rPr>
        <w:t>A</w:t>
      </w:r>
      <w:r>
        <w:rPr>
          <w:rFonts w:hint="eastAsia" w:ascii="仿宋_GB2312" w:hAnsi="仿宋_GB2312" w:eastAsia="仿宋_GB2312" w:cs="仿宋_GB2312"/>
          <w:sz w:val="32"/>
          <w:szCs w:val="32"/>
        </w:rPr>
        <w:t>圆内为止。圆桶由</w:t>
      </w:r>
      <w:r>
        <w:rPr>
          <w:rFonts w:ascii="仿宋_GB2312" w:hAnsi="仿宋_GB2312" w:eastAsia="仿宋_GB2312" w:cs="仿宋_GB2312"/>
          <w:sz w:val="32"/>
          <w:szCs w:val="32"/>
        </w:rPr>
        <w:t>B</w:t>
      </w:r>
      <w:r>
        <w:rPr>
          <w:rFonts w:hint="eastAsia" w:ascii="仿宋_GB2312" w:hAnsi="仿宋_GB2312" w:eastAsia="仿宋_GB2312" w:cs="仿宋_GB2312"/>
          <w:sz w:val="32"/>
          <w:szCs w:val="32"/>
        </w:rPr>
        <w:t>处、</w:t>
      </w:r>
      <w:r>
        <w:rPr>
          <w:rFonts w:ascii="仿宋_GB2312" w:hAnsi="仿宋_GB2312" w:eastAsia="仿宋_GB2312" w:cs="仿宋_GB2312"/>
          <w:sz w:val="32"/>
          <w:szCs w:val="32"/>
        </w:rPr>
        <w:t>C</w:t>
      </w:r>
      <w:r>
        <w:rPr>
          <w:rFonts w:hint="eastAsia" w:ascii="仿宋_GB2312" w:hAnsi="仿宋_GB2312" w:eastAsia="仿宋_GB2312" w:cs="仿宋_GB2312"/>
          <w:sz w:val="32"/>
          <w:szCs w:val="32"/>
        </w:rPr>
        <w:t>处吊起时均距地面</w:t>
      </w:r>
      <w:r>
        <w:rPr>
          <w:rFonts w:ascii="仿宋_GB2312" w:hAnsi="仿宋_GB2312" w:eastAsia="仿宋_GB2312" w:cs="仿宋_GB2312"/>
          <w:sz w:val="32"/>
          <w:szCs w:val="32"/>
        </w:rPr>
        <w:t>1500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-2000</w:t>
      </w:r>
      <w:r>
        <w:rPr>
          <w:rFonts w:ascii="仿宋_GB2312" w:hAnsi="仿宋_GB2312" w:eastAsia="仿宋_GB2312" w:cs="仿宋_GB2312"/>
          <w:sz w:val="32"/>
          <w:szCs w:val="32"/>
        </w:rPr>
        <w:t>mm</w:t>
      </w:r>
      <w:r>
        <w:rPr>
          <w:rFonts w:hint="eastAsia" w:ascii="仿宋_GB2312" w:hAnsi="仿宋_GB2312" w:eastAsia="仿宋_GB2312" w:cs="仿宋_GB2312"/>
          <w:sz w:val="32"/>
          <w:szCs w:val="32"/>
        </w:rPr>
        <w:t>，放入</w:t>
      </w:r>
      <w:r>
        <w:rPr>
          <w:rFonts w:ascii="仿宋_GB2312" w:hAnsi="仿宋_GB2312" w:eastAsia="仿宋_GB2312" w:cs="仿宋_GB2312"/>
          <w:sz w:val="32"/>
          <w:szCs w:val="32"/>
        </w:rPr>
        <w:t>C</w:t>
      </w:r>
      <w:r>
        <w:rPr>
          <w:rFonts w:hint="eastAsia" w:ascii="仿宋_GB2312" w:hAnsi="仿宋_GB2312" w:eastAsia="仿宋_GB2312" w:cs="仿宋_GB2312"/>
          <w:sz w:val="32"/>
          <w:szCs w:val="32"/>
        </w:rPr>
        <w:t>圆、</w:t>
      </w:r>
      <w:r>
        <w:rPr>
          <w:rFonts w:ascii="仿宋_GB2312" w:hAnsi="仿宋_GB2312" w:eastAsia="仿宋_GB2312" w:cs="仿宋_GB2312"/>
          <w:sz w:val="32"/>
          <w:szCs w:val="32"/>
        </w:rPr>
        <w:t>A</w:t>
      </w:r>
      <w:r>
        <w:rPr>
          <w:rFonts w:hint="eastAsia" w:ascii="仿宋_GB2312" w:hAnsi="仿宋_GB2312" w:eastAsia="仿宋_GB2312" w:cs="仿宋_GB2312"/>
          <w:sz w:val="32"/>
          <w:szCs w:val="32"/>
        </w:rPr>
        <w:t>圆的下降途中各准许停顿一次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DE0BF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0DB2BA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附件2：</w:t>
      </w:r>
    </w:p>
    <w:p w14:paraId="44CBC9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736" w:firstLineChars="60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8"/>
          <w:sz w:val="44"/>
          <w:szCs w:val="44"/>
          <w:highlight w:val="none"/>
          <w:u w:val="none"/>
          <w:shd w:val="clear" w:fill="FFFFFF"/>
          <w:lang w:val="en-US" w:eastAsia="zh-CN"/>
        </w:rPr>
        <w:t>后场司机实操考核题</w:t>
      </w:r>
    </w:p>
    <w:p w14:paraId="62ACD658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32"/>
          <w:szCs w:val="32"/>
          <w:lang w:val="en-US" w:eastAsia="zh-CN"/>
        </w:rPr>
        <w:t>正面吊</w:t>
      </w:r>
      <w:r>
        <w:rPr>
          <w:rFonts w:hint="eastAsia" w:ascii="仿宋" w:hAnsi="仿宋" w:eastAsia="仿宋" w:cs="仿宋"/>
          <w:b/>
          <w:bCs w:val="0"/>
          <w:sz w:val="32"/>
          <w:szCs w:val="32"/>
        </w:rPr>
        <w:t>运行、定点</w:t>
      </w:r>
      <w:r>
        <w:rPr>
          <w:rFonts w:hint="eastAsia" w:ascii="仿宋" w:hAnsi="仿宋" w:eastAsia="仿宋" w:cs="仿宋"/>
          <w:b/>
          <w:bCs w:val="0"/>
          <w:sz w:val="32"/>
          <w:szCs w:val="32"/>
          <w:lang w:val="en-US" w:eastAsia="zh-CN"/>
        </w:rPr>
        <w:t>装卸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示意图如下：</w:t>
      </w:r>
    </w:p>
    <w:p w14:paraId="6BEDBD46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616575" cy="3044190"/>
            <wp:effectExtent l="0" t="0" r="3175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6575" cy="304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7A5361">
      <w:pPr>
        <w:spacing w:line="52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分值：</w:t>
      </w:r>
      <w:r>
        <w:rPr>
          <w:rFonts w:ascii="仿宋_GB2312" w:hAnsi="仿宋_GB2312" w:eastAsia="仿宋_GB2312" w:cs="仿宋_GB2312"/>
          <w:sz w:val="32"/>
          <w:szCs w:val="32"/>
        </w:rPr>
        <w:t>100</w:t>
      </w:r>
      <w:r>
        <w:rPr>
          <w:rFonts w:hint="eastAsia" w:ascii="仿宋_GB2312" w:hAnsi="仿宋_GB2312" w:eastAsia="仿宋_GB2312" w:cs="仿宋_GB2312"/>
          <w:sz w:val="32"/>
          <w:szCs w:val="32"/>
        </w:rPr>
        <w:t>分。</w:t>
      </w:r>
      <w:r>
        <w:rPr>
          <w:rFonts w:ascii="仿宋_GB2312" w:hAnsi="仿宋_GB2312" w:eastAsia="仿宋_GB2312" w:cs="仿宋_GB2312"/>
          <w:sz w:val="32"/>
          <w:szCs w:val="32"/>
        </w:rPr>
        <w:t xml:space="preserve">  </w:t>
      </w:r>
    </w:p>
    <w:p w14:paraId="05E6A100">
      <w:pPr>
        <w:spacing w:line="52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时间：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</w:rPr>
        <w:t>分钟，计时从鸣笛开始到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正面吊停至停车点</w:t>
      </w:r>
      <w:r>
        <w:rPr>
          <w:rFonts w:hint="eastAsia" w:ascii="仿宋_GB2312" w:hAnsi="仿宋_GB2312" w:eastAsia="仿宋_GB2312" w:cs="仿宋_GB2312"/>
          <w:sz w:val="32"/>
          <w:szCs w:val="32"/>
        </w:rPr>
        <w:t>鸣喇叭示意为止。</w:t>
      </w:r>
    </w:p>
    <w:p w14:paraId="362E3B52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操作步骤：正面吊司机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准备完毕</w:t>
      </w:r>
      <w:r>
        <w:rPr>
          <w:rFonts w:hint="eastAsia" w:ascii="仿宋_GB2312" w:hAnsi="仿宋_GB2312" w:eastAsia="仿宋_GB2312" w:cs="仿宋_GB2312"/>
          <w:sz w:val="32"/>
          <w:szCs w:val="32"/>
        </w:rPr>
        <w:t>鸣喇叭示意考核官开始考核，从B点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吊装货物</w:t>
      </w:r>
      <w:r>
        <w:rPr>
          <w:rFonts w:hint="eastAsia" w:ascii="仿宋_GB2312" w:hAnsi="仿宋_GB2312" w:eastAsia="仿宋_GB2312" w:cs="仿宋_GB2312"/>
          <w:sz w:val="32"/>
          <w:szCs w:val="32"/>
        </w:rPr>
        <w:t>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A</w:t>
      </w:r>
      <w:r>
        <w:rPr>
          <w:rFonts w:hint="eastAsia" w:ascii="仿宋_GB2312" w:hAnsi="仿宋_GB2312" w:eastAsia="仿宋_GB2312" w:cs="仿宋_GB2312"/>
          <w:sz w:val="32"/>
          <w:szCs w:val="32"/>
        </w:rPr>
        <w:t>点准确卸在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指定区域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再到C点吊装货物</w:t>
      </w:r>
      <w:r>
        <w:rPr>
          <w:rFonts w:hint="eastAsia" w:ascii="仿宋_GB2312" w:hAnsi="仿宋_GB2312" w:eastAsia="仿宋_GB2312" w:cs="仿宋_GB2312"/>
          <w:sz w:val="32"/>
          <w:szCs w:val="32"/>
        </w:rPr>
        <w:t>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A</w:t>
      </w:r>
      <w:r>
        <w:rPr>
          <w:rFonts w:hint="eastAsia" w:ascii="仿宋_GB2312" w:hAnsi="仿宋_GB2312" w:eastAsia="仿宋_GB2312" w:cs="仿宋_GB2312"/>
          <w:sz w:val="32"/>
          <w:szCs w:val="32"/>
        </w:rPr>
        <w:t>点准确卸在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指定区域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再由A点吊装货物</w:t>
      </w:r>
      <w:r>
        <w:rPr>
          <w:rFonts w:hint="eastAsia" w:ascii="仿宋_GB2312" w:hAnsi="仿宋_GB2312" w:eastAsia="仿宋_GB2312" w:cs="仿宋_GB2312"/>
          <w:sz w:val="32"/>
          <w:szCs w:val="32"/>
        </w:rPr>
        <w:t>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C</w:t>
      </w:r>
      <w:r>
        <w:rPr>
          <w:rFonts w:hint="eastAsia" w:ascii="仿宋_GB2312" w:hAnsi="仿宋_GB2312" w:eastAsia="仿宋_GB2312" w:cs="仿宋_GB2312"/>
          <w:sz w:val="32"/>
          <w:szCs w:val="32"/>
        </w:rPr>
        <w:t>点准确卸在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指定区域，再由A点吊装货物</w:t>
      </w:r>
      <w:r>
        <w:rPr>
          <w:rFonts w:hint="eastAsia" w:ascii="仿宋_GB2312" w:hAnsi="仿宋_GB2312" w:eastAsia="仿宋_GB2312" w:cs="仿宋_GB2312"/>
          <w:sz w:val="32"/>
          <w:szCs w:val="32"/>
        </w:rPr>
        <w:t>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B</w:t>
      </w:r>
      <w:r>
        <w:rPr>
          <w:rFonts w:hint="eastAsia" w:ascii="仿宋_GB2312" w:hAnsi="仿宋_GB2312" w:eastAsia="仿宋_GB2312" w:cs="仿宋_GB2312"/>
          <w:sz w:val="32"/>
          <w:szCs w:val="32"/>
        </w:rPr>
        <w:t>点准确卸在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指定区域，最后驾驶正面吊到停车点</w:t>
      </w:r>
      <w:r>
        <w:rPr>
          <w:rFonts w:hint="eastAsia" w:ascii="仿宋_GB2312" w:hAnsi="仿宋_GB2312" w:eastAsia="仿宋_GB2312" w:cs="仿宋_GB2312"/>
          <w:sz w:val="32"/>
          <w:szCs w:val="32"/>
        </w:rPr>
        <w:t>鸣喇叭示意考核官结束。</w:t>
      </w:r>
    </w:p>
    <w:p w14:paraId="04D163E3">
      <w:pPr>
        <w:spacing w:line="520" w:lineRule="exact"/>
        <w:ind w:firstLine="640" w:firstLineChars="200"/>
        <w:rPr>
          <w:rFonts w:hint="eastAsia" w:ascii="仿宋_GB2312" w:hAnsi="仿宋_GB2312" w:cs="仿宋_GB2312"/>
          <w:sz w:val="32"/>
          <w:szCs w:val="32"/>
        </w:rPr>
      </w:pPr>
    </w:p>
    <w:p w14:paraId="2ADB9B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both"/>
        <w:textAlignment w:val="auto"/>
        <w:rPr>
          <w:rFonts w:hint="default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</w:pPr>
    </w:p>
    <w:p w14:paraId="087127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附件3：</w:t>
      </w:r>
    </w:p>
    <w:p w14:paraId="4D3771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</w:pPr>
    </w:p>
    <w:p w14:paraId="344EBD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736" w:firstLineChars="600"/>
        <w:jc w:val="both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8"/>
          <w:sz w:val="44"/>
          <w:szCs w:val="44"/>
          <w:highlight w:val="none"/>
          <w:u w:val="none"/>
          <w:shd w:val="clear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8"/>
          <w:sz w:val="44"/>
          <w:szCs w:val="44"/>
          <w:highlight w:val="none"/>
          <w:u w:val="none"/>
          <w:shd w:val="clear" w:fill="FFFFFF"/>
          <w:lang w:val="en-US" w:eastAsia="zh-CN"/>
        </w:rPr>
        <w:t>现场调度实操考核题</w:t>
      </w:r>
    </w:p>
    <w:p w14:paraId="2A099E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736" w:firstLineChars="600"/>
        <w:jc w:val="both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8"/>
          <w:sz w:val="44"/>
          <w:szCs w:val="44"/>
          <w:highlight w:val="none"/>
          <w:u w:val="none"/>
          <w:shd w:val="clear" w:fill="FFFFFF"/>
          <w:lang w:val="en-US" w:eastAsia="zh-CN"/>
        </w:rPr>
      </w:pPr>
    </w:p>
    <w:p w14:paraId="45148D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shd w:val="clear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auto"/>
          <w:lang w:val="en-US" w:eastAsia="zh-CN"/>
        </w:rPr>
        <w:t>应聘人员根据生产经营部当日作业计划表进行现场调度模拟，包括但不限于班前会部署，船舶靠离泊指挥、生产作业调度、当班安全巡查等。</w:t>
      </w:r>
    </w:p>
    <w:p w14:paraId="75E633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shd w:val="clear"/>
          <w:lang w:val="en-US" w:eastAsia="zh-CN"/>
        </w:rPr>
        <w:t>考评人将从信息掌握、安全操作、现场情况问询等三个方面进行评分，满分100分。</w:t>
      </w:r>
    </w:p>
    <w:p w14:paraId="279998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</w:pPr>
    </w:p>
    <w:p w14:paraId="0E165A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984" w:right="1474" w:bottom="187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0"/>
  <w:bordersDoNotSurroundFooter w:val="0"/>
  <w:revisionView w:markup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54A2"/>
    <w:rsid w:val="0011760F"/>
    <w:rsid w:val="009224FE"/>
    <w:rsid w:val="00DE3995"/>
    <w:rsid w:val="02683FCB"/>
    <w:rsid w:val="03577A2F"/>
    <w:rsid w:val="04691DDD"/>
    <w:rsid w:val="047925C8"/>
    <w:rsid w:val="072145DC"/>
    <w:rsid w:val="085D5AE7"/>
    <w:rsid w:val="08CA47FF"/>
    <w:rsid w:val="09A61397"/>
    <w:rsid w:val="0AC43BFC"/>
    <w:rsid w:val="0B8B15A1"/>
    <w:rsid w:val="0BF4770A"/>
    <w:rsid w:val="0CAA6E21"/>
    <w:rsid w:val="0CAB4813"/>
    <w:rsid w:val="0CF85DDF"/>
    <w:rsid w:val="0E6D45AA"/>
    <w:rsid w:val="0FD91EF8"/>
    <w:rsid w:val="0FF27767"/>
    <w:rsid w:val="10881C05"/>
    <w:rsid w:val="10D8227B"/>
    <w:rsid w:val="120C707D"/>
    <w:rsid w:val="13310E18"/>
    <w:rsid w:val="136C3083"/>
    <w:rsid w:val="149760FF"/>
    <w:rsid w:val="155362A8"/>
    <w:rsid w:val="162639BD"/>
    <w:rsid w:val="168D57EA"/>
    <w:rsid w:val="168D7598"/>
    <w:rsid w:val="16FC4AFD"/>
    <w:rsid w:val="17FC62C0"/>
    <w:rsid w:val="1ACE6BEF"/>
    <w:rsid w:val="1C0F2FD6"/>
    <w:rsid w:val="1D721295"/>
    <w:rsid w:val="1D970CFC"/>
    <w:rsid w:val="1E222CBC"/>
    <w:rsid w:val="1E3B3D7D"/>
    <w:rsid w:val="1FA37E2C"/>
    <w:rsid w:val="20104D96"/>
    <w:rsid w:val="22C115BB"/>
    <w:rsid w:val="22FF623C"/>
    <w:rsid w:val="27181100"/>
    <w:rsid w:val="28E374EB"/>
    <w:rsid w:val="28F07737"/>
    <w:rsid w:val="2972419C"/>
    <w:rsid w:val="29772E93"/>
    <w:rsid w:val="29F64FFC"/>
    <w:rsid w:val="2A426494"/>
    <w:rsid w:val="2B1971F4"/>
    <w:rsid w:val="2B231E21"/>
    <w:rsid w:val="2B593A95"/>
    <w:rsid w:val="2BF20908"/>
    <w:rsid w:val="2BFF63EA"/>
    <w:rsid w:val="2C92725E"/>
    <w:rsid w:val="2E725599"/>
    <w:rsid w:val="2E7A61FC"/>
    <w:rsid w:val="2F655E64"/>
    <w:rsid w:val="2FCA31B3"/>
    <w:rsid w:val="305D2ACB"/>
    <w:rsid w:val="30B359F5"/>
    <w:rsid w:val="3163566D"/>
    <w:rsid w:val="316B5CCC"/>
    <w:rsid w:val="322F37A1"/>
    <w:rsid w:val="33D26ADA"/>
    <w:rsid w:val="33F7209D"/>
    <w:rsid w:val="3468501E"/>
    <w:rsid w:val="35223149"/>
    <w:rsid w:val="35951B6D"/>
    <w:rsid w:val="373553B6"/>
    <w:rsid w:val="37B81B43"/>
    <w:rsid w:val="391A440E"/>
    <w:rsid w:val="39972358"/>
    <w:rsid w:val="39C40C73"/>
    <w:rsid w:val="3A125E82"/>
    <w:rsid w:val="3A443B62"/>
    <w:rsid w:val="3A500759"/>
    <w:rsid w:val="3A7371B4"/>
    <w:rsid w:val="3AB17207"/>
    <w:rsid w:val="3C06351B"/>
    <w:rsid w:val="3C277297"/>
    <w:rsid w:val="3D3B63FF"/>
    <w:rsid w:val="3D406863"/>
    <w:rsid w:val="3D9526D7"/>
    <w:rsid w:val="3D962926"/>
    <w:rsid w:val="3E2346CF"/>
    <w:rsid w:val="3F5047A9"/>
    <w:rsid w:val="3FEC4A80"/>
    <w:rsid w:val="407707ED"/>
    <w:rsid w:val="40C8729B"/>
    <w:rsid w:val="41850CE8"/>
    <w:rsid w:val="41A05B22"/>
    <w:rsid w:val="42703746"/>
    <w:rsid w:val="428368E7"/>
    <w:rsid w:val="4283791D"/>
    <w:rsid w:val="42883B6A"/>
    <w:rsid w:val="42C13FA2"/>
    <w:rsid w:val="42F97BDF"/>
    <w:rsid w:val="45834BF4"/>
    <w:rsid w:val="45D60A2D"/>
    <w:rsid w:val="46160AA8"/>
    <w:rsid w:val="46394F5F"/>
    <w:rsid w:val="469970C0"/>
    <w:rsid w:val="46F70B67"/>
    <w:rsid w:val="47C25730"/>
    <w:rsid w:val="48822425"/>
    <w:rsid w:val="49627B61"/>
    <w:rsid w:val="49BC54C3"/>
    <w:rsid w:val="49D96075"/>
    <w:rsid w:val="4A347B3C"/>
    <w:rsid w:val="4A730277"/>
    <w:rsid w:val="4B4340EE"/>
    <w:rsid w:val="4B845F72"/>
    <w:rsid w:val="4DCF2681"/>
    <w:rsid w:val="4E323010"/>
    <w:rsid w:val="4E9C3B15"/>
    <w:rsid w:val="4ECD037C"/>
    <w:rsid w:val="4EF57671"/>
    <w:rsid w:val="4FE87D76"/>
    <w:rsid w:val="50795EBC"/>
    <w:rsid w:val="52BC623B"/>
    <w:rsid w:val="53D879ED"/>
    <w:rsid w:val="54B5148C"/>
    <w:rsid w:val="554B2EBD"/>
    <w:rsid w:val="55DD0C9B"/>
    <w:rsid w:val="566048CD"/>
    <w:rsid w:val="57233025"/>
    <w:rsid w:val="58704048"/>
    <w:rsid w:val="58711B6E"/>
    <w:rsid w:val="595079D6"/>
    <w:rsid w:val="5A6E2809"/>
    <w:rsid w:val="5AA63D51"/>
    <w:rsid w:val="5BCD17B1"/>
    <w:rsid w:val="5BD7565A"/>
    <w:rsid w:val="5D1B39AC"/>
    <w:rsid w:val="5F69359F"/>
    <w:rsid w:val="5F742C34"/>
    <w:rsid w:val="605E6E7C"/>
    <w:rsid w:val="61F91685"/>
    <w:rsid w:val="62311323"/>
    <w:rsid w:val="630E4B89"/>
    <w:rsid w:val="63C4349A"/>
    <w:rsid w:val="64B74DAD"/>
    <w:rsid w:val="64BD077B"/>
    <w:rsid w:val="65484B17"/>
    <w:rsid w:val="667D038C"/>
    <w:rsid w:val="66850ECC"/>
    <w:rsid w:val="672F3320"/>
    <w:rsid w:val="6A130CD7"/>
    <w:rsid w:val="6AE461D0"/>
    <w:rsid w:val="6BD12BF8"/>
    <w:rsid w:val="6BDF4265"/>
    <w:rsid w:val="6C5C4BB7"/>
    <w:rsid w:val="6C5D448C"/>
    <w:rsid w:val="6DA00AD4"/>
    <w:rsid w:val="6E494CC8"/>
    <w:rsid w:val="6F54601A"/>
    <w:rsid w:val="6FE67489"/>
    <w:rsid w:val="70323C4E"/>
    <w:rsid w:val="70B07280"/>
    <w:rsid w:val="71096990"/>
    <w:rsid w:val="71463740"/>
    <w:rsid w:val="729A3D44"/>
    <w:rsid w:val="72CC2412"/>
    <w:rsid w:val="72D354A8"/>
    <w:rsid w:val="73603A8F"/>
    <w:rsid w:val="74177201"/>
    <w:rsid w:val="757F5473"/>
    <w:rsid w:val="75E0383E"/>
    <w:rsid w:val="78AF2513"/>
    <w:rsid w:val="79AD0F3C"/>
    <w:rsid w:val="79DA4662"/>
    <w:rsid w:val="7EBB576E"/>
    <w:rsid w:val="7F2E1845"/>
    <w:rsid w:val="7FFC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e463564e-bc13-4b08-b3e7-1a6f4d58753d</errorID>
      <errorWord>政纪处分</errorWord>
      <group>L1_Word</group>
      <groupName>字词问题</groupName>
      <ability>L2_Typo</ability>
      <abilityName>字词错误</abilityName>
      <candidateList>
        <item>政务处分</item>
      </candidateList>
      <explain/>
      <paraID>137BEFA4</paraID>
      <start>19</start>
      <end>23</end>
      <status>unmodified</status>
      <modifiedWord/>
      <trackRevisions>false</trackRevisions>
    </reviewItem>
    <reviewItem>
      <errorID>ca7f3331-3a9c-46b6-b9c8-c151eecacc19</errorID>
      <errorWord>停放试题</errorWord>
      <group>L1_Word</group>
      <groupName>字词问题</groupName>
      <ability>L2_Typo</ability>
      <abilityName>字词错误</abilityName>
      <candidateList>
        <item>停放尸体</item>
      </candidateList>
      <explain/>
      <paraID>698215E6</paraID>
      <start>13</start>
      <end>17</end>
      <status>unmodified</status>
      <modifiedWord/>
      <trackRevisions>false</trackRevisions>
    </reviewItem>
    <reviewItem>
      <errorID>99df8dc2-af18-4a55-a4a3-9fa614362813</errorID>
      <errorWord>接</errorWord>
      <group>L1_Word</group>
      <groupName>字词问题</groupName>
      <ability>L2_Typo</ability>
      <abilityName>字词错误</abilityName>
      <candidateList>
        <item>接到</item>
      </candidateList>
      <explain/>
      <paraID>66C75CAA</paraID>
      <start>10</start>
      <end>11</end>
      <status>unmodified</status>
      <modifiedWord/>
      <trackRevisions>false</trackRevisions>
    </reviewItem>
    <reviewItem>
      <errorID>95cd7d00-c210-4f9d-abc6-6b95d5c01749</errorID>
      <errorWord>-</errorWord>
      <group>L1_Punc</group>
      <groupName>标点问题</groupName>
      <ability>L2_Punc_CN</ability>
      <abilityName>标点符号问题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66C75CAA</paraID>
      <start>31</start>
      <end>32</end>
      <status>unmodified</status>
      <modifiedWord/>
      <trackRevisions>false</trackRevisions>
    </reviewItem>
    <reviewItem>
      <errorID>cbe13d3d-e95c-4221-a6cf-5ce2f66edee8</errorID>
      <errorWord>-</errorWord>
      <group>L1_Punc</group>
      <groupName>标点问题</groupName>
      <ability>L2_Punc_CN</ability>
      <abilityName>标点符号问题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66C75CAA</paraID>
      <start>111</start>
      <end>112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3b1790eb-2a0c-4f46-bac7-e29ddaa244f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2454</Words>
  <Characters>2596</Characters>
  <Lines>0</Lines>
  <Paragraphs>0</Paragraphs>
  <TotalTime>5</TotalTime>
  <ScaleCrop>false</ScaleCrop>
  <LinksUpToDate>false</LinksUpToDate>
  <CharactersWithSpaces>2601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2024-07-03T03:44:00Z</dcterms:created>
  <dc:creator>YHMT</dc:creator>
  <cp:lastModifiedBy>渠杨芊</cp:lastModifiedBy>
  <cp:lastPrinted>2024-07-10T17:16:00Z</cp:lastPrinted>
  <dcterms:modified xsi:type="dcterms:W3CDTF">2026-09-11T02:21:20Z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782BD14A2CC84B4898CD0DF327435D36_13</vt:lpwstr>
  </property>
  <property fmtid="{D5CDD505-2E9C-101B-9397-08002B2CF9AE}" pid="4" name="KSOTemplateDocerSaveRecord">
    <vt:lpwstr>eyJoZGlkIjoiYzExNDM5NmFkZWE5MTYxNjMzMGI5MzcxNzRmODk2NGUiLCJ1c2VySWQiOiIxNTIyNjM4NDE5In0=</vt:lpwstr>
  </property>
</Properties>
</file>