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50F86">
      <w:pPr>
        <w:widowControl w:val="0"/>
        <w:tabs>
          <w:tab w:val="center" w:pos="4153"/>
          <w:tab w:val="right" w:pos="8306"/>
        </w:tabs>
        <w:snapToGrid w:val="0"/>
        <w:ind w:firstLine="0" w:firstLineChars="0"/>
        <w:jc w:val="left"/>
        <w:rPr>
          <w:rFonts w:eastAsia="方正黑体_GBK" w:cs="Times New Roman"/>
          <w:color w:val="auto"/>
          <w:sz w:val="32"/>
          <w:szCs w:val="32"/>
          <w:highlight w:val="none"/>
        </w:rPr>
      </w:pPr>
      <w:r>
        <w:rPr>
          <w:rFonts w:hint="eastAsia" w:eastAsia="方正黑体_GBK" w:cs="Times New Roman"/>
          <w:color w:val="auto"/>
          <w:sz w:val="32"/>
          <w:szCs w:val="32"/>
          <w:highlight w:val="none"/>
          <w:lang w:eastAsia="zh-CN"/>
        </w:rPr>
        <w:t>附件</w:t>
      </w:r>
      <w:r>
        <w:rPr>
          <w:rFonts w:hint="eastAsia" w:eastAsia="方正黑体_GBK" w:cs="Times New Roman"/>
          <w:color w:val="auto"/>
          <w:sz w:val="32"/>
          <w:szCs w:val="32"/>
          <w:highlight w:val="none"/>
        </w:rPr>
        <w:t>1</w:t>
      </w:r>
    </w:p>
    <w:p w14:paraId="6D7F8555">
      <w:pPr>
        <w:spacing w:line="700" w:lineRule="exact"/>
        <w:jc w:val="center"/>
        <w:rPr>
          <w:rFonts w:ascii="Times New Roman" w:hAnsi="Times New Roman" w:eastAsia="方正小标宋_GBK" w:cs="Times New Roman"/>
          <w:bCs/>
          <w:color w:val="auto"/>
          <w:spacing w:val="-17"/>
          <w:sz w:val="44"/>
          <w:szCs w:val="44"/>
          <w:highlight w:val="none"/>
        </w:rPr>
      </w:pPr>
      <w:r>
        <w:rPr>
          <w:rFonts w:ascii="Times New Roman" w:hAnsi="Times New Roman" w:eastAsia="方正小标宋_GBK" w:cs="Times New Roman"/>
          <w:bCs/>
          <w:color w:val="auto"/>
          <w:spacing w:val="-17"/>
          <w:sz w:val="44"/>
          <w:szCs w:val="44"/>
          <w:highlight w:val="none"/>
        </w:rPr>
        <w:t>广安</w:t>
      </w:r>
      <w:r>
        <w:rPr>
          <w:rFonts w:hint="eastAsia" w:ascii="Times New Roman" w:hAnsi="Times New Roman" w:eastAsia="方正小标宋_GBK" w:cs="Times New Roman"/>
          <w:bCs/>
          <w:color w:val="auto"/>
          <w:spacing w:val="-17"/>
          <w:sz w:val="44"/>
          <w:szCs w:val="44"/>
          <w:highlight w:val="none"/>
        </w:rPr>
        <w:t>投资集团</w:t>
      </w:r>
      <w:r>
        <w:rPr>
          <w:rFonts w:ascii="Times New Roman" w:hAnsi="Times New Roman" w:eastAsia="方正小标宋_GBK" w:cs="Times New Roman"/>
          <w:bCs/>
          <w:color w:val="auto"/>
          <w:spacing w:val="-17"/>
          <w:sz w:val="44"/>
          <w:szCs w:val="44"/>
          <w:highlight w:val="none"/>
        </w:rPr>
        <w:t>有限公司</w:t>
      </w:r>
    </w:p>
    <w:p w14:paraId="264A25C6">
      <w:pPr>
        <w:spacing w:line="700" w:lineRule="exact"/>
        <w:jc w:val="center"/>
        <w:rPr>
          <w:rFonts w:ascii="Times New Roman" w:hAnsi="Times New Roman" w:eastAsia="方正小标宋_GBK" w:cs="Times New Roman"/>
          <w:bCs/>
          <w:color w:val="auto"/>
          <w:spacing w:val="-17"/>
          <w:sz w:val="44"/>
          <w:szCs w:val="44"/>
          <w:highlight w:val="none"/>
        </w:rPr>
      </w:pPr>
      <w:r>
        <w:rPr>
          <w:rFonts w:ascii="Times New Roman" w:hAnsi="Times New Roman" w:eastAsia="方正小标宋_GBK" w:cs="Times New Roman"/>
          <w:bCs/>
          <w:color w:val="auto"/>
          <w:spacing w:val="-17"/>
          <w:sz w:val="44"/>
          <w:szCs w:val="44"/>
          <w:highlight w:val="none"/>
        </w:rPr>
        <w:t>202</w:t>
      </w:r>
      <w:r>
        <w:rPr>
          <w:rFonts w:hint="eastAsia" w:ascii="Times New Roman" w:hAnsi="Times New Roman" w:eastAsia="方正小标宋_GBK" w:cs="Times New Roman"/>
          <w:bCs/>
          <w:color w:val="auto"/>
          <w:spacing w:val="-17"/>
          <w:sz w:val="44"/>
          <w:szCs w:val="44"/>
          <w:highlight w:val="none"/>
          <w:lang w:val="en-US" w:eastAsia="zh-CN"/>
        </w:rPr>
        <w:t>5</w:t>
      </w:r>
      <w:r>
        <w:rPr>
          <w:rFonts w:ascii="Times New Roman" w:hAnsi="Times New Roman" w:eastAsia="方正小标宋_GBK" w:cs="Times New Roman"/>
          <w:bCs/>
          <w:color w:val="auto"/>
          <w:spacing w:val="-17"/>
          <w:sz w:val="44"/>
          <w:szCs w:val="44"/>
          <w:highlight w:val="none"/>
        </w:rPr>
        <w:t>年第</w:t>
      </w:r>
      <w:r>
        <w:rPr>
          <w:rFonts w:hint="eastAsia" w:ascii="Times New Roman" w:hAnsi="Times New Roman" w:eastAsia="方正小标宋_GBK" w:cs="Times New Roman"/>
          <w:bCs/>
          <w:color w:val="auto"/>
          <w:spacing w:val="-17"/>
          <w:sz w:val="44"/>
          <w:szCs w:val="44"/>
          <w:highlight w:val="none"/>
          <w:lang w:val="en-US" w:eastAsia="zh-CN"/>
        </w:rPr>
        <w:t>一次</w:t>
      </w:r>
      <w:r>
        <w:rPr>
          <w:rFonts w:ascii="Times New Roman" w:hAnsi="Times New Roman" w:eastAsia="方正小标宋_GBK" w:cs="Times New Roman"/>
          <w:bCs/>
          <w:color w:val="auto"/>
          <w:spacing w:val="-17"/>
          <w:sz w:val="44"/>
          <w:szCs w:val="44"/>
          <w:highlight w:val="none"/>
        </w:rPr>
        <w:t>公开招聘</w:t>
      </w:r>
      <w:r>
        <w:rPr>
          <w:rFonts w:hint="eastAsia" w:ascii="Times New Roman" w:hAnsi="Times New Roman" w:eastAsia="方正小标宋_GBK" w:cs="Times New Roman"/>
          <w:bCs/>
          <w:color w:val="auto"/>
          <w:spacing w:val="-17"/>
          <w:sz w:val="44"/>
          <w:szCs w:val="44"/>
          <w:highlight w:val="none"/>
          <w:lang w:val="en-US" w:eastAsia="zh-CN"/>
        </w:rPr>
        <w:t>工作人员</w:t>
      </w:r>
      <w:r>
        <w:rPr>
          <w:rFonts w:ascii="Times New Roman" w:hAnsi="Times New Roman" w:eastAsia="方正小标宋_GBK" w:cs="Times New Roman"/>
          <w:bCs/>
          <w:color w:val="auto"/>
          <w:spacing w:val="-17"/>
          <w:sz w:val="44"/>
          <w:szCs w:val="44"/>
          <w:highlight w:val="none"/>
        </w:rPr>
        <w:t>岗位一览表</w:t>
      </w:r>
    </w:p>
    <w:tbl>
      <w:tblPr>
        <w:tblStyle w:val="12"/>
        <w:tblW w:w="15376" w:type="dxa"/>
        <w:jc w:val="center"/>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983"/>
        <w:gridCol w:w="795"/>
        <w:gridCol w:w="750"/>
        <w:gridCol w:w="945"/>
        <w:gridCol w:w="915"/>
        <w:gridCol w:w="628"/>
        <w:gridCol w:w="4058"/>
        <w:gridCol w:w="3788"/>
        <w:gridCol w:w="945"/>
        <w:gridCol w:w="860"/>
      </w:tblGrid>
      <w:tr w14:paraId="0AC71C73">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tblHeader/>
          <w:jc w:val="center"/>
        </w:trPr>
        <w:tc>
          <w:tcPr>
            <w:tcW w:w="709" w:type="dxa"/>
            <w:tcMar>
              <w:top w:w="15" w:type="dxa"/>
              <w:left w:w="15" w:type="dxa"/>
              <w:right w:w="15" w:type="dxa"/>
            </w:tcMar>
            <w:vAlign w:val="center"/>
          </w:tcPr>
          <w:p w14:paraId="73CACE0F">
            <w:pPr>
              <w:snapToGrid w:val="0"/>
              <w:spacing w:line="240" w:lineRule="exact"/>
              <w:ind w:firstLine="0" w:firstLineChars="0"/>
              <w:contextualSpacing/>
              <w:jc w:val="center"/>
              <w:textAlignment w:val="center"/>
              <w:rPr>
                <w:rFonts w:eastAsia="宋体" w:cs="Times New Roman"/>
                <w:b/>
                <w:color w:val="000000" w:themeColor="text1"/>
                <w:sz w:val="22"/>
                <w:highlight w:val="none"/>
                <w14:textFill>
                  <w14:solidFill>
                    <w14:schemeClr w14:val="tx1"/>
                  </w14:solidFill>
                </w14:textFill>
              </w:rPr>
            </w:pPr>
            <w:r>
              <w:rPr>
                <w:rFonts w:hint="eastAsia" w:eastAsia="宋体" w:cs="Times New Roman"/>
                <w:b/>
                <w:color w:val="000000" w:themeColor="text1"/>
                <w:kern w:val="0"/>
                <w:sz w:val="22"/>
                <w:highlight w:val="none"/>
                <w:lang w:val="en-US" w:eastAsia="zh-CN"/>
                <w14:textFill>
                  <w14:solidFill>
                    <w14:schemeClr w14:val="tx1"/>
                  </w14:solidFill>
                </w14:textFill>
              </w:rPr>
              <w:t>岗位</w:t>
            </w:r>
            <w:r>
              <w:rPr>
                <w:rFonts w:eastAsia="宋体" w:cs="Times New Roman"/>
                <w:b/>
                <w:color w:val="000000" w:themeColor="text1"/>
                <w:kern w:val="0"/>
                <w:sz w:val="22"/>
                <w:highlight w:val="none"/>
                <w14:textFill>
                  <w14:solidFill>
                    <w14:schemeClr w14:val="tx1"/>
                  </w14:solidFill>
                </w14:textFill>
              </w:rPr>
              <w:t>序号</w:t>
            </w:r>
          </w:p>
        </w:tc>
        <w:tc>
          <w:tcPr>
            <w:tcW w:w="983" w:type="dxa"/>
            <w:tcMar>
              <w:top w:w="15" w:type="dxa"/>
              <w:left w:w="15" w:type="dxa"/>
              <w:right w:w="15" w:type="dxa"/>
            </w:tcMar>
            <w:vAlign w:val="center"/>
          </w:tcPr>
          <w:p w14:paraId="36E976FB">
            <w:pPr>
              <w:snapToGrid w:val="0"/>
              <w:spacing w:line="240" w:lineRule="exact"/>
              <w:ind w:firstLine="0" w:firstLineChars="0"/>
              <w:contextualSpacing/>
              <w:jc w:val="center"/>
              <w:textAlignment w:val="center"/>
              <w:rPr>
                <w:rFonts w:hint="eastAsia" w:eastAsia="宋体" w:cs="Times New Roman"/>
                <w:b/>
                <w:color w:val="000000" w:themeColor="text1"/>
                <w:sz w:val="22"/>
                <w:highlight w:val="none"/>
                <w:lang w:eastAsia="zh-CN"/>
                <w14:textFill>
                  <w14:solidFill>
                    <w14:schemeClr w14:val="tx1"/>
                  </w14:solidFill>
                </w14:textFill>
              </w:rPr>
            </w:pPr>
            <w:r>
              <w:rPr>
                <w:rFonts w:eastAsia="宋体" w:cs="Times New Roman"/>
                <w:b/>
                <w:color w:val="000000" w:themeColor="text1"/>
                <w:kern w:val="0"/>
                <w:sz w:val="22"/>
                <w:highlight w:val="none"/>
                <w14:textFill>
                  <w14:solidFill>
                    <w14:schemeClr w14:val="tx1"/>
                  </w14:solidFill>
                </w14:textFill>
              </w:rPr>
              <w:t>用人</w:t>
            </w:r>
            <w:r>
              <w:rPr>
                <w:rFonts w:hint="eastAsia" w:eastAsia="宋体" w:cs="Times New Roman"/>
                <w:b/>
                <w:color w:val="000000" w:themeColor="text1"/>
                <w:kern w:val="0"/>
                <w:sz w:val="22"/>
                <w:highlight w:val="none"/>
                <w:lang w:eastAsia="zh-CN"/>
                <w14:textFill>
                  <w14:solidFill>
                    <w14:schemeClr w14:val="tx1"/>
                  </w14:solidFill>
                </w14:textFill>
              </w:rPr>
              <w:t>单位</w:t>
            </w:r>
          </w:p>
        </w:tc>
        <w:tc>
          <w:tcPr>
            <w:tcW w:w="795" w:type="dxa"/>
            <w:tcMar>
              <w:top w:w="15" w:type="dxa"/>
              <w:left w:w="15" w:type="dxa"/>
              <w:right w:w="15" w:type="dxa"/>
            </w:tcMar>
            <w:vAlign w:val="center"/>
          </w:tcPr>
          <w:p w14:paraId="04FA4EDB">
            <w:pPr>
              <w:snapToGrid w:val="0"/>
              <w:spacing w:line="240" w:lineRule="exact"/>
              <w:ind w:firstLine="0" w:firstLineChars="0"/>
              <w:contextualSpacing/>
              <w:jc w:val="center"/>
              <w:textAlignment w:val="center"/>
              <w:rPr>
                <w:rFonts w:eastAsia="宋体" w:cs="Times New Roman"/>
                <w:b/>
                <w:color w:val="000000" w:themeColor="text1"/>
                <w:kern w:val="0"/>
                <w:sz w:val="22"/>
                <w:highlight w:val="none"/>
                <w14:textFill>
                  <w14:solidFill>
                    <w14:schemeClr w14:val="tx1"/>
                  </w14:solidFill>
                </w14:textFill>
              </w:rPr>
            </w:pPr>
            <w:r>
              <w:rPr>
                <w:rFonts w:eastAsia="宋体" w:cs="Times New Roman"/>
                <w:b/>
                <w:color w:val="000000" w:themeColor="text1"/>
                <w:kern w:val="0"/>
                <w:sz w:val="22"/>
                <w:highlight w:val="none"/>
                <w14:textFill>
                  <w14:solidFill>
                    <w14:schemeClr w14:val="tx1"/>
                  </w14:solidFill>
                </w14:textFill>
              </w:rPr>
              <w:t>拟聘</w:t>
            </w:r>
          </w:p>
          <w:p w14:paraId="54DBAA6B">
            <w:pPr>
              <w:snapToGrid w:val="0"/>
              <w:spacing w:line="240" w:lineRule="exact"/>
              <w:ind w:firstLine="0" w:firstLineChars="0"/>
              <w:contextualSpacing/>
              <w:jc w:val="center"/>
              <w:textAlignment w:val="center"/>
              <w:rPr>
                <w:rFonts w:eastAsia="宋体" w:cs="Times New Roman"/>
                <w:b/>
                <w:color w:val="000000" w:themeColor="text1"/>
                <w:sz w:val="22"/>
                <w:highlight w:val="none"/>
                <w14:textFill>
                  <w14:solidFill>
                    <w14:schemeClr w14:val="tx1"/>
                  </w14:solidFill>
                </w14:textFill>
              </w:rPr>
            </w:pPr>
            <w:r>
              <w:rPr>
                <w:rFonts w:eastAsia="宋体" w:cs="Times New Roman"/>
                <w:b/>
                <w:color w:val="000000" w:themeColor="text1"/>
                <w:kern w:val="0"/>
                <w:sz w:val="22"/>
                <w:highlight w:val="none"/>
                <w14:textFill>
                  <w14:solidFill>
                    <w14:schemeClr w14:val="tx1"/>
                  </w14:solidFill>
                </w14:textFill>
              </w:rPr>
              <w:t>岗位</w:t>
            </w:r>
          </w:p>
        </w:tc>
        <w:tc>
          <w:tcPr>
            <w:tcW w:w="750" w:type="dxa"/>
            <w:tcMar>
              <w:top w:w="15" w:type="dxa"/>
              <w:left w:w="15" w:type="dxa"/>
              <w:right w:w="15" w:type="dxa"/>
            </w:tcMar>
            <w:vAlign w:val="center"/>
          </w:tcPr>
          <w:p w14:paraId="0D2ACA86">
            <w:pPr>
              <w:snapToGrid w:val="0"/>
              <w:spacing w:line="240" w:lineRule="exact"/>
              <w:ind w:firstLine="0" w:firstLineChars="0"/>
              <w:contextualSpacing/>
              <w:jc w:val="center"/>
              <w:textAlignment w:val="center"/>
              <w:rPr>
                <w:rFonts w:eastAsia="宋体" w:cs="Times New Roman"/>
                <w:b/>
                <w:color w:val="000000" w:themeColor="text1"/>
                <w:kern w:val="0"/>
                <w:sz w:val="22"/>
                <w:highlight w:val="none"/>
                <w14:textFill>
                  <w14:solidFill>
                    <w14:schemeClr w14:val="tx1"/>
                  </w14:solidFill>
                </w14:textFill>
              </w:rPr>
            </w:pPr>
            <w:r>
              <w:rPr>
                <w:rFonts w:eastAsia="宋体" w:cs="Times New Roman"/>
                <w:b/>
                <w:color w:val="000000" w:themeColor="text1"/>
                <w:kern w:val="0"/>
                <w:sz w:val="22"/>
                <w:highlight w:val="none"/>
                <w14:textFill>
                  <w14:solidFill>
                    <w14:schemeClr w14:val="tx1"/>
                  </w14:solidFill>
                </w14:textFill>
              </w:rPr>
              <w:t>拟聘</w:t>
            </w:r>
          </w:p>
          <w:p w14:paraId="4B21A2FD">
            <w:pPr>
              <w:snapToGrid w:val="0"/>
              <w:spacing w:line="240" w:lineRule="exact"/>
              <w:ind w:firstLine="0" w:firstLineChars="0"/>
              <w:contextualSpacing/>
              <w:jc w:val="center"/>
              <w:textAlignment w:val="center"/>
              <w:rPr>
                <w:rFonts w:eastAsia="宋体" w:cs="Times New Roman"/>
                <w:b/>
                <w:color w:val="000000" w:themeColor="text1"/>
                <w:sz w:val="22"/>
                <w:highlight w:val="none"/>
                <w14:textFill>
                  <w14:solidFill>
                    <w14:schemeClr w14:val="tx1"/>
                  </w14:solidFill>
                </w14:textFill>
              </w:rPr>
            </w:pPr>
            <w:r>
              <w:rPr>
                <w:rFonts w:eastAsia="宋体" w:cs="Times New Roman"/>
                <w:b/>
                <w:color w:val="000000" w:themeColor="text1"/>
                <w:kern w:val="0"/>
                <w:sz w:val="22"/>
                <w:highlight w:val="none"/>
                <w14:textFill>
                  <w14:solidFill>
                    <w14:schemeClr w14:val="tx1"/>
                  </w14:solidFill>
                </w14:textFill>
              </w:rPr>
              <w:t>人数</w:t>
            </w:r>
          </w:p>
        </w:tc>
        <w:tc>
          <w:tcPr>
            <w:tcW w:w="945" w:type="dxa"/>
            <w:tcMar>
              <w:top w:w="15" w:type="dxa"/>
              <w:left w:w="15" w:type="dxa"/>
              <w:right w:w="15" w:type="dxa"/>
            </w:tcMar>
            <w:vAlign w:val="center"/>
          </w:tcPr>
          <w:p w14:paraId="3EF25B0B">
            <w:pPr>
              <w:snapToGrid w:val="0"/>
              <w:spacing w:line="240" w:lineRule="exact"/>
              <w:ind w:firstLine="0" w:firstLineChars="0"/>
              <w:contextualSpacing/>
              <w:jc w:val="center"/>
              <w:textAlignment w:val="center"/>
              <w:rPr>
                <w:rFonts w:eastAsia="宋体" w:cs="Times New Roman"/>
                <w:b/>
                <w:color w:val="000000" w:themeColor="text1"/>
                <w:kern w:val="0"/>
                <w:sz w:val="22"/>
                <w:highlight w:val="none"/>
                <w14:textFill>
                  <w14:solidFill>
                    <w14:schemeClr w14:val="tx1"/>
                  </w14:solidFill>
                </w14:textFill>
              </w:rPr>
            </w:pPr>
            <w:r>
              <w:rPr>
                <w:rFonts w:eastAsia="宋体" w:cs="Times New Roman"/>
                <w:b/>
                <w:color w:val="000000" w:themeColor="text1"/>
                <w:kern w:val="0"/>
                <w:sz w:val="22"/>
                <w:highlight w:val="none"/>
                <w14:textFill>
                  <w14:solidFill>
                    <w14:schemeClr w14:val="tx1"/>
                  </w14:solidFill>
                </w14:textFill>
              </w:rPr>
              <w:t>学历</w:t>
            </w:r>
          </w:p>
          <w:p w14:paraId="45395FEA">
            <w:pPr>
              <w:snapToGrid w:val="0"/>
              <w:spacing w:line="240" w:lineRule="exact"/>
              <w:ind w:firstLine="0" w:firstLineChars="0"/>
              <w:contextualSpacing/>
              <w:jc w:val="center"/>
              <w:textAlignment w:val="center"/>
              <w:rPr>
                <w:rFonts w:eastAsia="宋体" w:cs="Times New Roman"/>
                <w:b/>
                <w:color w:val="000000" w:themeColor="text1"/>
                <w:sz w:val="22"/>
                <w:highlight w:val="none"/>
                <w14:textFill>
                  <w14:solidFill>
                    <w14:schemeClr w14:val="tx1"/>
                  </w14:solidFill>
                </w14:textFill>
              </w:rPr>
            </w:pPr>
            <w:r>
              <w:rPr>
                <w:rFonts w:eastAsia="宋体" w:cs="Times New Roman"/>
                <w:b/>
                <w:color w:val="000000" w:themeColor="text1"/>
                <w:kern w:val="0"/>
                <w:sz w:val="22"/>
                <w:highlight w:val="none"/>
                <w14:textFill>
                  <w14:solidFill>
                    <w14:schemeClr w14:val="tx1"/>
                  </w14:solidFill>
                </w14:textFill>
              </w:rPr>
              <w:t>要求</w:t>
            </w:r>
          </w:p>
        </w:tc>
        <w:tc>
          <w:tcPr>
            <w:tcW w:w="915" w:type="dxa"/>
            <w:tcMar>
              <w:top w:w="15" w:type="dxa"/>
              <w:left w:w="15" w:type="dxa"/>
              <w:right w:w="15" w:type="dxa"/>
            </w:tcMar>
            <w:vAlign w:val="center"/>
          </w:tcPr>
          <w:p w14:paraId="318EF423">
            <w:pPr>
              <w:snapToGrid w:val="0"/>
              <w:spacing w:line="240" w:lineRule="exact"/>
              <w:ind w:firstLine="0" w:firstLineChars="0"/>
              <w:contextualSpacing/>
              <w:jc w:val="center"/>
              <w:textAlignment w:val="center"/>
              <w:rPr>
                <w:rFonts w:eastAsia="宋体" w:cs="Times New Roman"/>
                <w:b/>
                <w:color w:val="000000" w:themeColor="text1"/>
                <w:kern w:val="0"/>
                <w:sz w:val="22"/>
                <w:highlight w:val="none"/>
                <w14:textFill>
                  <w14:solidFill>
                    <w14:schemeClr w14:val="tx1"/>
                  </w14:solidFill>
                </w14:textFill>
              </w:rPr>
            </w:pPr>
            <w:r>
              <w:rPr>
                <w:rFonts w:hint="eastAsia" w:eastAsia="宋体" w:cs="Times New Roman"/>
                <w:b/>
                <w:color w:val="000000" w:themeColor="text1"/>
                <w:kern w:val="0"/>
                <w:sz w:val="22"/>
                <w:highlight w:val="none"/>
                <w14:textFill>
                  <w14:solidFill>
                    <w14:schemeClr w14:val="tx1"/>
                  </w14:solidFill>
                </w14:textFill>
              </w:rPr>
              <w:t>专业</w:t>
            </w:r>
          </w:p>
          <w:p w14:paraId="485D25B1">
            <w:pPr>
              <w:snapToGrid w:val="0"/>
              <w:spacing w:line="240" w:lineRule="exact"/>
              <w:ind w:firstLine="0" w:firstLineChars="0"/>
              <w:contextualSpacing/>
              <w:jc w:val="center"/>
              <w:textAlignment w:val="center"/>
              <w:rPr>
                <w:rFonts w:eastAsia="宋体" w:cs="Times New Roman"/>
                <w:b/>
                <w:color w:val="000000" w:themeColor="text1"/>
                <w:sz w:val="22"/>
                <w:highlight w:val="none"/>
                <w14:textFill>
                  <w14:solidFill>
                    <w14:schemeClr w14:val="tx1"/>
                  </w14:solidFill>
                </w14:textFill>
              </w:rPr>
            </w:pPr>
            <w:r>
              <w:rPr>
                <w:rFonts w:hint="eastAsia" w:eastAsia="宋体" w:cs="Times New Roman"/>
                <w:b/>
                <w:color w:val="000000" w:themeColor="text1"/>
                <w:kern w:val="0"/>
                <w:sz w:val="22"/>
                <w:highlight w:val="none"/>
                <w14:textFill>
                  <w14:solidFill>
                    <w14:schemeClr w14:val="tx1"/>
                  </w14:solidFill>
                </w14:textFill>
              </w:rPr>
              <w:t>要求</w:t>
            </w:r>
          </w:p>
        </w:tc>
        <w:tc>
          <w:tcPr>
            <w:tcW w:w="628" w:type="dxa"/>
            <w:tcMar>
              <w:top w:w="15" w:type="dxa"/>
              <w:left w:w="15" w:type="dxa"/>
              <w:right w:w="15" w:type="dxa"/>
            </w:tcMar>
            <w:vAlign w:val="center"/>
          </w:tcPr>
          <w:p w14:paraId="19BB4BFE">
            <w:pPr>
              <w:snapToGrid w:val="0"/>
              <w:spacing w:line="240" w:lineRule="exact"/>
              <w:ind w:firstLine="0" w:firstLineChars="0"/>
              <w:contextualSpacing/>
              <w:jc w:val="center"/>
              <w:textAlignment w:val="center"/>
              <w:rPr>
                <w:rFonts w:eastAsia="宋体" w:cs="Times New Roman"/>
                <w:b/>
                <w:color w:val="000000" w:themeColor="text1"/>
                <w:kern w:val="0"/>
                <w:sz w:val="22"/>
                <w:highlight w:val="none"/>
                <w14:textFill>
                  <w14:solidFill>
                    <w14:schemeClr w14:val="tx1"/>
                  </w14:solidFill>
                </w14:textFill>
              </w:rPr>
            </w:pPr>
            <w:r>
              <w:rPr>
                <w:rFonts w:eastAsia="宋体" w:cs="Times New Roman"/>
                <w:b/>
                <w:color w:val="000000" w:themeColor="text1"/>
                <w:kern w:val="0"/>
                <w:sz w:val="22"/>
                <w:highlight w:val="none"/>
                <w14:textFill>
                  <w14:solidFill>
                    <w14:schemeClr w14:val="tx1"/>
                  </w14:solidFill>
                </w14:textFill>
              </w:rPr>
              <w:t>年龄</w:t>
            </w:r>
          </w:p>
          <w:p w14:paraId="3AE5E3D0">
            <w:pPr>
              <w:snapToGrid w:val="0"/>
              <w:spacing w:line="240" w:lineRule="exact"/>
              <w:ind w:firstLine="0" w:firstLineChars="0"/>
              <w:contextualSpacing/>
              <w:jc w:val="center"/>
              <w:textAlignment w:val="center"/>
              <w:rPr>
                <w:rFonts w:eastAsia="宋体" w:cs="Times New Roman"/>
                <w:b/>
                <w:color w:val="000000" w:themeColor="text1"/>
                <w:sz w:val="22"/>
                <w:highlight w:val="none"/>
                <w14:textFill>
                  <w14:solidFill>
                    <w14:schemeClr w14:val="tx1"/>
                  </w14:solidFill>
                </w14:textFill>
              </w:rPr>
            </w:pPr>
            <w:r>
              <w:rPr>
                <w:rFonts w:eastAsia="宋体" w:cs="Times New Roman"/>
                <w:b/>
                <w:color w:val="000000" w:themeColor="text1"/>
                <w:kern w:val="0"/>
                <w:sz w:val="22"/>
                <w:highlight w:val="none"/>
                <w14:textFill>
                  <w14:solidFill>
                    <w14:schemeClr w14:val="tx1"/>
                  </w14:solidFill>
                </w14:textFill>
              </w:rPr>
              <w:t>要求</w:t>
            </w:r>
          </w:p>
        </w:tc>
        <w:tc>
          <w:tcPr>
            <w:tcW w:w="4058" w:type="dxa"/>
            <w:tcMar>
              <w:top w:w="15" w:type="dxa"/>
              <w:left w:w="15" w:type="dxa"/>
              <w:right w:w="15" w:type="dxa"/>
            </w:tcMar>
            <w:vAlign w:val="center"/>
          </w:tcPr>
          <w:p w14:paraId="6DC053BC">
            <w:pPr>
              <w:snapToGrid w:val="0"/>
              <w:spacing w:line="240" w:lineRule="exact"/>
              <w:ind w:firstLine="0" w:firstLineChars="0"/>
              <w:contextualSpacing/>
              <w:jc w:val="center"/>
              <w:textAlignment w:val="center"/>
              <w:rPr>
                <w:rFonts w:eastAsia="宋体" w:cs="Times New Roman"/>
                <w:b/>
                <w:color w:val="000000" w:themeColor="text1"/>
                <w:sz w:val="22"/>
                <w:highlight w:val="none"/>
                <w14:textFill>
                  <w14:solidFill>
                    <w14:schemeClr w14:val="tx1"/>
                  </w14:solidFill>
                </w14:textFill>
              </w:rPr>
            </w:pPr>
            <w:r>
              <w:rPr>
                <w:rFonts w:eastAsia="宋体" w:cs="Times New Roman"/>
                <w:b/>
                <w:color w:val="000000" w:themeColor="text1"/>
                <w:kern w:val="0"/>
                <w:sz w:val="22"/>
                <w:highlight w:val="none"/>
                <w14:textFill>
                  <w14:solidFill>
                    <w14:schemeClr w14:val="tx1"/>
                  </w14:solidFill>
                </w14:textFill>
              </w:rPr>
              <w:t>任职条件</w:t>
            </w:r>
          </w:p>
        </w:tc>
        <w:tc>
          <w:tcPr>
            <w:tcW w:w="3788" w:type="dxa"/>
            <w:vAlign w:val="center"/>
          </w:tcPr>
          <w:p w14:paraId="223DE41E">
            <w:pPr>
              <w:snapToGrid w:val="0"/>
              <w:spacing w:line="240" w:lineRule="exact"/>
              <w:ind w:firstLine="0" w:firstLineChars="0"/>
              <w:contextualSpacing/>
              <w:jc w:val="center"/>
              <w:textAlignment w:val="center"/>
              <w:rPr>
                <w:rFonts w:eastAsia="宋体" w:cs="Times New Roman"/>
                <w:b/>
                <w:color w:val="000000" w:themeColor="text1"/>
                <w:kern w:val="0"/>
                <w:sz w:val="22"/>
                <w:highlight w:val="none"/>
                <w14:textFill>
                  <w14:solidFill>
                    <w14:schemeClr w14:val="tx1"/>
                  </w14:solidFill>
                </w14:textFill>
              </w:rPr>
            </w:pPr>
            <w:r>
              <w:rPr>
                <w:rFonts w:hint="eastAsia" w:eastAsia="宋体" w:cs="Times New Roman"/>
                <w:b/>
                <w:color w:val="000000" w:themeColor="text1"/>
                <w:kern w:val="0"/>
                <w:sz w:val="22"/>
                <w:highlight w:val="none"/>
                <w14:textFill>
                  <w14:solidFill>
                    <w14:schemeClr w14:val="tx1"/>
                  </w14:solidFill>
                </w14:textFill>
              </w:rPr>
              <w:t>主要工作职责</w:t>
            </w:r>
          </w:p>
        </w:tc>
        <w:tc>
          <w:tcPr>
            <w:tcW w:w="945" w:type="dxa"/>
            <w:vAlign w:val="center"/>
          </w:tcPr>
          <w:p w14:paraId="573F545D">
            <w:pPr>
              <w:snapToGrid w:val="0"/>
              <w:spacing w:line="240" w:lineRule="exact"/>
              <w:ind w:firstLine="0" w:firstLineChars="0"/>
              <w:contextualSpacing/>
              <w:jc w:val="center"/>
              <w:textAlignment w:val="center"/>
              <w:rPr>
                <w:rFonts w:eastAsia="宋体" w:cs="Times New Roman"/>
                <w:b/>
                <w:color w:val="000000" w:themeColor="text1"/>
                <w:kern w:val="0"/>
                <w:sz w:val="22"/>
                <w:highlight w:val="none"/>
                <w14:textFill>
                  <w14:solidFill>
                    <w14:schemeClr w14:val="tx1"/>
                  </w14:solidFill>
                </w14:textFill>
              </w:rPr>
            </w:pPr>
            <w:r>
              <w:rPr>
                <w:rFonts w:hint="eastAsia" w:eastAsia="宋体" w:cs="Times New Roman"/>
                <w:b/>
                <w:color w:val="000000" w:themeColor="text1"/>
                <w:kern w:val="0"/>
                <w:sz w:val="22"/>
                <w:highlight w:val="none"/>
                <w14:textFill>
                  <w14:solidFill>
                    <w14:schemeClr w14:val="tx1"/>
                  </w14:solidFill>
                </w14:textFill>
              </w:rPr>
              <w:t>薪资待遇</w:t>
            </w:r>
          </w:p>
        </w:tc>
        <w:tc>
          <w:tcPr>
            <w:tcW w:w="860" w:type="dxa"/>
            <w:tcMar>
              <w:top w:w="15" w:type="dxa"/>
              <w:left w:w="15" w:type="dxa"/>
              <w:right w:w="15" w:type="dxa"/>
            </w:tcMar>
            <w:vAlign w:val="center"/>
          </w:tcPr>
          <w:p w14:paraId="24500DE1">
            <w:pPr>
              <w:snapToGrid w:val="0"/>
              <w:spacing w:line="240" w:lineRule="exact"/>
              <w:ind w:firstLine="0" w:firstLineChars="0"/>
              <w:contextualSpacing/>
              <w:jc w:val="center"/>
              <w:textAlignment w:val="center"/>
              <w:rPr>
                <w:rFonts w:eastAsia="宋体" w:cs="Times New Roman"/>
                <w:b/>
                <w:color w:val="000000" w:themeColor="text1"/>
                <w:sz w:val="22"/>
                <w:highlight w:val="none"/>
                <w14:textFill>
                  <w14:solidFill>
                    <w14:schemeClr w14:val="tx1"/>
                  </w14:solidFill>
                </w14:textFill>
              </w:rPr>
            </w:pPr>
            <w:r>
              <w:rPr>
                <w:rFonts w:eastAsia="宋体" w:cs="Times New Roman"/>
                <w:b/>
                <w:color w:val="000000" w:themeColor="text1"/>
                <w:kern w:val="0"/>
                <w:sz w:val="22"/>
                <w:highlight w:val="none"/>
                <w14:textFill>
                  <w14:solidFill>
                    <w14:schemeClr w14:val="tx1"/>
                  </w14:solidFill>
                </w14:textFill>
              </w:rPr>
              <w:t>备注</w:t>
            </w:r>
          </w:p>
        </w:tc>
      </w:tr>
      <w:tr w14:paraId="31AE3AB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0" w:hRule="atLeast"/>
          <w:jc w:val="center"/>
        </w:trPr>
        <w:tc>
          <w:tcPr>
            <w:tcW w:w="709" w:type="dxa"/>
            <w:tcMar>
              <w:top w:w="15" w:type="dxa"/>
              <w:left w:w="15" w:type="dxa"/>
              <w:right w:w="15" w:type="dxa"/>
            </w:tcMar>
            <w:vAlign w:val="center"/>
          </w:tcPr>
          <w:p w14:paraId="2B5435A1">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cs="Times New Roman"/>
                <w:color w:val="000000" w:themeColor="text1"/>
                <w:kern w:val="0"/>
                <w:sz w:val="22"/>
                <w:highlight w:val="none"/>
                <w:lang w:val="en-US" w:eastAsia="zh-CN"/>
                <w14:textFill>
                  <w14:solidFill>
                    <w14:schemeClr w14:val="tx1"/>
                  </w14:solidFill>
                </w14:textFill>
              </w:rPr>
              <w:t>GT20250101</w:t>
            </w:r>
          </w:p>
        </w:tc>
        <w:tc>
          <w:tcPr>
            <w:tcW w:w="983" w:type="dxa"/>
            <w:tcMar>
              <w:top w:w="15" w:type="dxa"/>
              <w:left w:w="15" w:type="dxa"/>
              <w:right w:w="15" w:type="dxa"/>
            </w:tcMar>
            <w:vAlign w:val="center"/>
          </w:tcPr>
          <w:p w14:paraId="20D31771">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集团本部</w:t>
            </w:r>
          </w:p>
          <w:p w14:paraId="2F192E06">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795" w:type="dxa"/>
            <w:tcMar>
              <w:top w:w="15" w:type="dxa"/>
              <w:left w:w="15" w:type="dxa"/>
              <w:right w:w="15" w:type="dxa"/>
            </w:tcMar>
            <w:vAlign w:val="center"/>
          </w:tcPr>
          <w:p w14:paraId="7A827DF9">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投资部</w:t>
            </w:r>
          </w:p>
          <w:p w14:paraId="33F83655">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投资管理岗（投资经理）</w:t>
            </w:r>
          </w:p>
        </w:tc>
        <w:tc>
          <w:tcPr>
            <w:tcW w:w="750" w:type="dxa"/>
            <w:tcMar>
              <w:top w:w="15" w:type="dxa"/>
              <w:left w:w="15" w:type="dxa"/>
              <w:right w:w="15" w:type="dxa"/>
            </w:tcMar>
            <w:vAlign w:val="center"/>
          </w:tcPr>
          <w:p w14:paraId="636F4466">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w:t>
            </w:r>
          </w:p>
        </w:tc>
        <w:tc>
          <w:tcPr>
            <w:tcW w:w="945" w:type="dxa"/>
            <w:tcMar>
              <w:top w:w="15" w:type="dxa"/>
              <w:left w:w="15" w:type="dxa"/>
              <w:right w:w="15" w:type="dxa"/>
            </w:tcMar>
            <w:vAlign w:val="center"/>
          </w:tcPr>
          <w:p w14:paraId="3B8B854D">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本科及以上学历</w:t>
            </w:r>
          </w:p>
        </w:tc>
        <w:tc>
          <w:tcPr>
            <w:tcW w:w="915" w:type="dxa"/>
            <w:tcMar>
              <w:top w:w="15" w:type="dxa"/>
              <w:left w:w="15" w:type="dxa"/>
              <w:right w:w="15" w:type="dxa"/>
            </w:tcMar>
            <w:vAlign w:val="center"/>
          </w:tcPr>
          <w:p w14:paraId="4F38D0C3">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金融、财务、工商管理、生物医药、新能源、新材料等理工科及相关专业</w:t>
            </w:r>
          </w:p>
        </w:tc>
        <w:tc>
          <w:tcPr>
            <w:tcW w:w="628" w:type="dxa"/>
            <w:tcMar>
              <w:top w:w="15" w:type="dxa"/>
              <w:left w:w="15" w:type="dxa"/>
              <w:right w:w="15" w:type="dxa"/>
            </w:tcMar>
            <w:vAlign w:val="center"/>
          </w:tcPr>
          <w:p w14:paraId="02D7FC26">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40</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周岁以下</w:t>
            </w:r>
          </w:p>
        </w:tc>
        <w:tc>
          <w:tcPr>
            <w:tcW w:w="4058" w:type="dxa"/>
            <w:tcMar>
              <w:top w:w="15" w:type="dxa"/>
              <w:left w:w="15" w:type="dxa"/>
              <w:right w:w="15" w:type="dxa"/>
            </w:tcMar>
            <w:vAlign w:val="center"/>
          </w:tcPr>
          <w:p w14:paraId="37B43692">
            <w:pPr>
              <w:snapToGrid w:val="0"/>
              <w:spacing w:line="240" w:lineRule="exact"/>
              <w:ind w:firstLine="0" w:firstLineChars="0"/>
              <w:contextualSpacing/>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w:t>
            </w: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.具有5年以上金融投资或产业经营管理经验 ，有较强的战略研究和投资分析能力 ，能独立完成撰写行业研究报告；</w:t>
            </w:r>
          </w:p>
          <w:p w14:paraId="38E00B37">
            <w:pPr>
              <w:snapToGrid w:val="0"/>
              <w:spacing w:line="240" w:lineRule="exact"/>
              <w:ind w:firstLine="0" w:firstLineChars="0"/>
              <w:contextualSpacing/>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w:t>
            </w: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.在银行、证券、基金、投资机构等金融行业或制造业或大型国企央企中具备项目投资工作经验、政府引导基金工作经验的优先；</w:t>
            </w:r>
          </w:p>
          <w:p w14:paraId="3772E54C">
            <w:pPr>
              <w:snapToGrid w:val="0"/>
              <w:spacing w:line="240" w:lineRule="exact"/>
              <w:ind w:firstLine="0" w:firstLineChars="0"/>
              <w:contextualSpacing/>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w:t>
            </w: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.有大局意识，服从安排，责任心强、沟通协调能力强、学习能力强；做事细致认真，执行力强；</w:t>
            </w:r>
          </w:p>
          <w:p w14:paraId="61441D28">
            <w:pPr>
              <w:snapToGrid w:val="0"/>
              <w:spacing w:line="240" w:lineRule="exact"/>
              <w:ind w:firstLine="0" w:firstLineChars="0"/>
              <w:contextualSpacing/>
              <w:textAlignment w:val="center"/>
              <w:rPr>
                <w:rFonts w:hint="default"/>
                <w:color w:val="000000" w:themeColor="text1"/>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w:t>
            </w: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.持有基金从业资格证，有注册金融分析师（CFA）、注册会计师（CPA）等相关职业资格证书者优先</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，能充分利用各类资源，完成集团交办重大投资或收并购目标。</w:t>
            </w:r>
          </w:p>
        </w:tc>
        <w:tc>
          <w:tcPr>
            <w:tcW w:w="3788" w:type="dxa"/>
            <w:shd w:val="clear" w:color="auto" w:fill="auto"/>
            <w:vAlign w:val="top"/>
          </w:tcPr>
          <w:p w14:paraId="3BE91F02">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1</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.跟踪投资目标行业动态，分析行业趋势、竞争格局及政策影响，撰写行业研究报告；</w:t>
            </w:r>
          </w:p>
          <w:p w14:paraId="4B2E3487">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2.对拟投资项目进行初步筛选，通过财务分析、法律合规性审查、商业逻辑评估等完成尽职调查；</w:t>
            </w:r>
          </w:p>
          <w:p w14:paraId="3211BF07">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3.负责承办权限范围内的投资项目，撰写投资分析报告，提出投资建议；</w:t>
            </w:r>
          </w:p>
          <w:p w14:paraId="39975B8B">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4.跟踪被投企业经营状况，定期收集财务数据和业务进展，监控投资风险；</w:t>
            </w:r>
          </w:p>
          <w:p w14:paraId="7C41C09F">
            <w:pPr>
              <w:snapToGrid w:val="0"/>
              <w:spacing w:line="240" w:lineRule="exact"/>
              <w:ind w:firstLine="0" w:firstLineChars="0"/>
              <w:contextualSpacing/>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5.协助募集资金，拓展新的投资者资源；</w:t>
            </w:r>
          </w:p>
          <w:p w14:paraId="2A89B738">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6.</w:t>
            </w:r>
            <w:r>
              <w:rPr>
                <w:rFonts w:hint="default" w:ascii="Times New Roman" w:hAnsi="Times New Roman" w:eastAsia="方正仿宋_GBK" w:cs="Times New Roman"/>
                <w:color w:val="000000" w:themeColor="text1"/>
                <w:sz w:val="22"/>
                <w:highlight w:val="none"/>
                <w14:textFill>
                  <w14:solidFill>
                    <w14:schemeClr w14:val="tx1"/>
                  </w14:solidFill>
                </w14:textFill>
              </w:rPr>
              <w:t>完成领导安排的其它工作任务。</w:t>
            </w:r>
          </w:p>
          <w:p w14:paraId="60B4D339">
            <w:pPr>
              <w:snapToGrid w:val="0"/>
              <w:spacing w:line="240" w:lineRule="exact"/>
              <w:ind w:firstLine="0" w:firstLineChars="0"/>
              <w:contextualSpacing/>
              <w:textAlignment w:val="center"/>
              <w:rPr>
                <w:rFonts w:hint="default" w:ascii="Times New Roman" w:hAnsi="Times New Roman" w:eastAsia="方正仿宋_GBK" w:cs="Times New Roman"/>
                <w:color w:val="000000" w:themeColor="text1"/>
                <w:kern w:val="2"/>
                <w:sz w:val="22"/>
                <w:szCs w:val="22"/>
                <w:highlight w:val="none"/>
                <w:lang w:val="en-US" w:eastAsia="zh-CN" w:bidi="ar-SA"/>
                <w14:textFill>
                  <w14:solidFill>
                    <w14:schemeClr w14:val="tx1"/>
                  </w14:solidFill>
                </w14:textFill>
              </w:rPr>
            </w:pPr>
          </w:p>
        </w:tc>
        <w:tc>
          <w:tcPr>
            <w:tcW w:w="945" w:type="dxa"/>
            <w:vAlign w:val="center"/>
          </w:tcPr>
          <w:p w14:paraId="3EFA170D">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执行公司薪酬体系</w:t>
            </w:r>
          </w:p>
          <w:p w14:paraId="2BB906F0">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860" w:type="dxa"/>
            <w:tcMar>
              <w:top w:w="15" w:type="dxa"/>
              <w:left w:w="15" w:type="dxa"/>
              <w:right w:w="15" w:type="dxa"/>
            </w:tcMar>
            <w:vAlign w:val="center"/>
          </w:tcPr>
          <w:p w14:paraId="687BF8BF">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符合回避制度</w:t>
            </w:r>
          </w:p>
        </w:tc>
      </w:tr>
      <w:tr w14:paraId="66B0C608">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1" w:hRule="atLeast"/>
          <w:jc w:val="center"/>
        </w:trPr>
        <w:tc>
          <w:tcPr>
            <w:tcW w:w="709" w:type="dxa"/>
            <w:tcMar>
              <w:top w:w="15" w:type="dxa"/>
              <w:left w:w="15" w:type="dxa"/>
              <w:right w:w="15" w:type="dxa"/>
            </w:tcMar>
            <w:vAlign w:val="center"/>
          </w:tcPr>
          <w:p w14:paraId="35052C76">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cs="Times New Roman"/>
                <w:color w:val="000000" w:themeColor="text1"/>
                <w:kern w:val="0"/>
                <w:sz w:val="22"/>
                <w:highlight w:val="none"/>
                <w:lang w:val="en-US" w:eastAsia="zh-CN"/>
                <w14:textFill>
                  <w14:solidFill>
                    <w14:schemeClr w14:val="tx1"/>
                  </w14:solidFill>
                </w14:textFill>
              </w:rPr>
              <w:t>GT2025010</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w:t>
            </w:r>
          </w:p>
        </w:tc>
        <w:tc>
          <w:tcPr>
            <w:tcW w:w="983" w:type="dxa"/>
            <w:tcMar>
              <w:top w:w="15" w:type="dxa"/>
              <w:left w:w="15" w:type="dxa"/>
              <w:right w:w="15" w:type="dxa"/>
            </w:tcMar>
            <w:vAlign w:val="center"/>
          </w:tcPr>
          <w:p w14:paraId="045EA60D">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集团本部</w:t>
            </w:r>
          </w:p>
          <w:p w14:paraId="27A78763">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bookmarkStart w:id="0" w:name="_GoBack"/>
            <w:bookmarkEnd w:id="0"/>
          </w:p>
        </w:tc>
        <w:tc>
          <w:tcPr>
            <w:tcW w:w="795" w:type="dxa"/>
            <w:tcMar>
              <w:top w:w="15" w:type="dxa"/>
              <w:left w:w="15" w:type="dxa"/>
              <w:right w:w="15" w:type="dxa"/>
            </w:tcMar>
            <w:vAlign w:val="center"/>
          </w:tcPr>
          <w:p w14:paraId="0A095DB6">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投资部投资管理岗（投资助理）</w:t>
            </w:r>
          </w:p>
        </w:tc>
        <w:tc>
          <w:tcPr>
            <w:tcW w:w="750" w:type="dxa"/>
            <w:tcMar>
              <w:top w:w="15" w:type="dxa"/>
              <w:left w:w="15" w:type="dxa"/>
              <w:right w:w="15" w:type="dxa"/>
            </w:tcMar>
            <w:vAlign w:val="center"/>
          </w:tcPr>
          <w:p w14:paraId="1CA95196">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w:t>
            </w:r>
          </w:p>
        </w:tc>
        <w:tc>
          <w:tcPr>
            <w:tcW w:w="945" w:type="dxa"/>
            <w:tcMar>
              <w:top w:w="15" w:type="dxa"/>
              <w:left w:w="15" w:type="dxa"/>
              <w:right w:w="15" w:type="dxa"/>
            </w:tcMar>
            <w:vAlign w:val="center"/>
          </w:tcPr>
          <w:p w14:paraId="29CB557B">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本科及以上学历</w:t>
            </w:r>
          </w:p>
        </w:tc>
        <w:tc>
          <w:tcPr>
            <w:tcW w:w="915" w:type="dxa"/>
            <w:tcMar>
              <w:top w:w="15" w:type="dxa"/>
              <w:left w:w="15" w:type="dxa"/>
              <w:right w:w="15" w:type="dxa"/>
            </w:tcMar>
            <w:vAlign w:val="center"/>
          </w:tcPr>
          <w:p w14:paraId="4BB61BFF">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金融、财务、工商管理、生物医药、新能源、新材料等理工科及相关专业</w:t>
            </w:r>
          </w:p>
        </w:tc>
        <w:tc>
          <w:tcPr>
            <w:tcW w:w="628" w:type="dxa"/>
            <w:tcMar>
              <w:top w:w="15" w:type="dxa"/>
              <w:left w:w="15" w:type="dxa"/>
              <w:right w:w="15" w:type="dxa"/>
            </w:tcMar>
            <w:vAlign w:val="center"/>
          </w:tcPr>
          <w:p w14:paraId="4D006C8C">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35</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周岁以下</w:t>
            </w:r>
          </w:p>
        </w:tc>
        <w:tc>
          <w:tcPr>
            <w:tcW w:w="4058" w:type="dxa"/>
            <w:tcMar>
              <w:top w:w="15" w:type="dxa"/>
              <w:left w:w="15" w:type="dxa"/>
              <w:right w:w="15" w:type="dxa"/>
            </w:tcMar>
            <w:vAlign w:val="center"/>
          </w:tcPr>
          <w:p w14:paraId="30473AE7">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1.有较强的战略研究和投资分析能力，能独立完成撰写行业研究报告；</w:t>
            </w:r>
          </w:p>
          <w:p w14:paraId="336C1C69">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2.在银行、证券、基金、投资机构等金融行业或制造业或大型国企央企中具备项目投资工作经验、政府引导基金工作经验的优先；</w:t>
            </w:r>
          </w:p>
          <w:p w14:paraId="0D4E7A25">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3.有大局意识，服从安排，责任心强、沟通协调能力强、学习能力强；做事细致认真，执行力强；</w:t>
            </w:r>
          </w:p>
          <w:p w14:paraId="140DC175">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4.有注册金融分析师（CFA）、注册会计师（CPA）、基金从业资格证等相关职业资格证书者优先。</w:t>
            </w:r>
          </w:p>
        </w:tc>
        <w:tc>
          <w:tcPr>
            <w:tcW w:w="3788" w:type="dxa"/>
            <w:shd w:val="clear" w:color="auto" w:fill="auto"/>
            <w:vAlign w:val="top"/>
          </w:tcPr>
          <w:p w14:paraId="2C544874">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1</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.负责基金、实体产业等投资相关政策研究，撰写行业研究报告，识别投资机会；</w:t>
            </w:r>
          </w:p>
          <w:p w14:paraId="7BFA04F9">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2.建立并维护与政府部门、行业协会、中介机构、创业者等的合作关系，拓展项目来源渠道；</w:t>
            </w:r>
          </w:p>
          <w:p w14:paraId="0487337F">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3.负责承办权限范围内的投资项目，撰写投资分析报告，提出投资建议；</w:t>
            </w:r>
          </w:p>
          <w:p w14:paraId="45180369">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4.负责投资数据统计、分析等部门综合类工作；</w:t>
            </w:r>
          </w:p>
          <w:p w14:paraId="05BFB7ED">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5.跟踪被投企业经营状况，定期收集财务数据和业务进展，监控投资风险；</w:t>
            </w:r>
          </w:p>
          <w:p w14:paraId="0F3B4D09">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6.</w:t>
            </w:r>
            <w:r>
              <w:rPr>
                <w:rFonts w:hint="default" w:ascii="Times New Roman" w:hAnsi="Times New Roman" w:eastAsia="方正仿宋_GBK" w:cs="Times New Roman"/>
                <w:color w:val="000000" w:themeColor="text1"/>
                <w:sz w:val="22"/>
                <w:highlight w:val="none"/>
                <w14:textFill>
                  <w14:solidFill>
                    <w14:schemeClr w14:val="tx1"/>
                  </w14:solidFill>
                </w14:textFill>
              </w:rPr>
              <w:t>完成领导安排的其它工作任务。</w:t>
            </w:r>
          </w:p>
          <w:p w14:paraId="0EAC035F">
            <w:pPr>
              <w:snapToGrid w:val="0"/>
              <w:spacing w:line="240" w:lineRule="exact"/>
              <w:ind w:firstLine="0" w:firstLineChars="0"/>
              <w:contextualSpacing/>
              <w:textAlignment w:val="center"/>
              <w:rPr>
                <w:rFonts w:hint="default" w:ascii="Times New Roman" w:hAnsi="Times New Roman" w:eastAsia="方正仿宋_GBK" w:cs="Times New Roman"/>
                <w:color w:val="000000" w:themeColor="text1"/>
                <w:kern w:val="2"/>
                <w:sz w:val="22"/>
                <w:szCs w:val="22"/>
                <w:highlight w:val="none"/>
                <w:lang w:val="en-US" w:eastAsia="zh-CN" w:bidi="ar-SA"/>
                <w14:textFill>
                  <w14:solidFill>
                    <w14:schemeClr w14:val="tx1"/>
                  </w14:solidFill>
                </w14:textFill>
              </w:rPr>
            </w:pPr>
          </w:p>
        </w:tc>
        <w:tc>
          <w:tcPr>
            <w:tcW w:w="945" w:type="dxa"/>
            <w:vMerge w:val="restart"/>
            <w:vAlign w:val="center"/>
          </w:tcPr>
          <w:p w14:paraId="0FFBB4BC">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执行公司薪酬体系</w:t>
            </w:r>
          </w:p>
          <w:p w14:paraId="3F4D24EE">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860" w:type="dxa"/>
            <w:vMerge w:val="restart"/>
            <w:tcMar>
              <w:top w:w="15" w:type="dxa"/>
              <w:left w:w="15" w:type="dxa"/>
              <w:right w:w="15" w:type="dxa"/>
            </w:tcMar>
            <w:vAlign w:val="center"/>
          </w:tcPr>
          <w:p w14:paraId="627822E9">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符合回避制度</w:t>
            </w:r>
          </w:p>
          <w:p w14:paraId="23B4F4DE">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p>
        </w:tc>
      </w:tr>
      <w:tr w14:paraId="543E261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9" w:hRule="atLeast"/>
          <w:jc w:val="center"/>
        </w:trPr>
        <w:tc>
          <w:tcPr>
            <w:tcW w:w="709" w:type="dxa"/>
            <w:tcMar>
              <w:top w:w="15" w:type="dxa"/>
              <w:left w:w="15" w:type="dxa"/>
              <w:right w:w="15" w:type="dxa"/>
            </w:tcMar>
            <w:vAlign w:val="center"/>
          </w:tcPr>
          <w:p w14:paraId="6056E0CF">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cs="Times New Roman"/>
                <w:color w:val="000000" w:themeColor="text1"/>
                <w:kern w:val="0"/>
                <w:sz w:val="22"/>
                <w:highlight w:val="none"/>
                <w:lang w:val="en-US" w:eastAsia="zh-CN"/>
                <w14:textFill>
                  <w14:solidFill>
                    <w14:schemeClr w14:val="tx1"/>
                  </w14:solidFill>
                </w14:textFill>
              </w:rPr>
              <w:t>GT2025010</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w:t>
            </w:r>
          </w:p>
        </w:tc>
        <w:tc>
          <w:tcPr>
            <w:tcW w:w="983" w:type="dxa"/>
            <w:tcMar>
              <w:top w:w="15" w:type="dxa"/>
              <w:left w:w="15" w:type="dxa"/>
              <w:right w:w="15" w:type="dxa"/>
            </w:tcMar>
            <w:vAlign w:val="center"/>
          </w:tcPr>
          <w:p w14:paraId="72E83670">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集团本部</w:t>
            </w:r>
          </w:p>
          <w:p w14:paraId="1F9DDFB3">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795" w:type="dxa"/>
            <w:tcMar>
              <w:top w:w="15" w:type="dxa"/>
              <w:left w:w="15" w:type="dxa"/>
              <w:right w:w="15" w:type="dxa"/>
            </w:tcMar>
            <w:vAlign w:val="center"/>
          </w:tcPr>
          <w:p w14:paraId="18981A8E">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投资部投资管理岗（投资助理）</w:t>
            </w:r>
          </w:p>
        </w:tc>
        <w:tc>
          <w:tcPr>
            <w:tcW w:w="750" w:type="dxa"/>
            <w:tcMar>
              <w:top w:w="15" w:type="dxa"/>
              <w:left w:w="15" w:type="dxa"/>
              <w:right w:w="15" w:type="dxa"/>
            </w:tcMar>
            <w:vAlign w:val="center"/>
          </w:tcPr>
          <w:p w14:paraId="2BE1EA48">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w:t>
            </w:r>
          </w:p>
        </w:tc>
        <w:tc>
          <w:tcPr>
            <w:tcW w:w="945" w:type="dxa"/>
            <w:tcMar>
              <w:top w:w="15" w:type="dxa"/>
              <w:left w:w="15" w:type="dxa"/>
              <w:right w:w="15" w:type="dxa"/>
            </w:tcMar>
            <w:vAlign w:val="center"/>
          </w:tcPr>
          <w:p w14:paraId="63A22D82">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本科及以上学历</w:t>
            </w:r>
          </w:p>
        </w:tc>
        <w:tc>
          <w:tcPr>
            <w:tcW w:w="915" w:type="dxa"/>
            <w:tcMar>
              <w:top w:w="15" w:type="dxa"/>
              <w:left w:w="15" w:type="dxa"/>
              <w:right w:w="15" w:type="dxa"/>
            </w:tcMar>
            <w:vAlign w:val="center"/>
          </w:tcPr>
          <w:p w14:paraId="44AA75E2">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工程管理、项目管理、工学类等相关专业</w:t>
            </w:r>
          </w:p>
        </w:tc>
        <w:tc>
          <w:tcPr>
            <w:tcW w:w="628" w:type="dxa"/>
            <w:tcMar>
              <w:top w:w="15" w:type="dxa"/>
              <w:left w:w="15" w:type="dxa"/>
              <w:right w:w="15" w:type="dxa"/>
            </w:tcMar>
            <w:vAlign w:val="center"/>
          </w:tcPr>
          <w:p w14:paraId="08BE1399">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35</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周岁以下</w:t>
            </w:r>
          </w:p>
        </w:tc>
        <w:tc>
          <w:tcPr>
            <w:tcW w:w="4058" w:type="dxa"/>
            <w:tcMar>
              <w:top w:w="15" w:type="dxa"/>
              <w:left w:w="15" w:type="dxa"/>
              <w:right w:w="15" w:type="dxa"/>
            </w:tcMar>
            <w:vAlign w:val="center"/>
          </w:tcPr>
          <w:p w14:paraId="2F92D014">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1.具有3年以上现场工程管理工作经验；有大型项目工程管理经验者优先；</w:t>
            </w:r>
          </w:p>
          <w:p w14:paraId="4DDA36FD">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2.具备责任心和执行力强，且有良好的语言表达、沟通及文字能力，为人踏实勤勉，耐心细致，善于沟通、合作；</w:t>
            </w:r>
          </w:p>
          <w:p w14:paraId="74C4DEB2">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3.持有二级建造师证书或一级建造师以上工程类专业资质证书者优先。</w:t>
            </w:r>
          </w:p>
        </w:tc>
        <w:tc>
          <w:tcPr>
            <w:tcW w:w="3788" w:type="dxa"/>
            <w:shd w:val="clear" w:color="auto" w:fill="auto"/>
            <w:vAlign w:val="top"/>
          </w:tcPr>
          <w:p w14:paraId="07E761C7">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1</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.跟踪建筑工程、市政基建、新能源基建、智慧城市等领域的政策动态、技术发展及市场需求，撰写行业研究报告，识别投资机会；</w:t>
            </w:r>
          </w:p>
          <w:p w14:paraId="5897E0DE">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2.与政府平台（如城投公司）、工程类企业（如设计院、施工单位）、行业协会等建立合作关系，获取 PPP、EPC、城市更新、产业园区等工程类项目信息；</w:t>
            </w:r>
          </w:p>
          <w:p w14:paraId="4F875FDF">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3.负责承办权限范围内的投资项目，撰写投资分析报告，提出投资建议；</w:t>
            </w:r>
          </w:p>
          <w:p w14:paraId="584C8FD9">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4.建立项目风险预警机制，跟踪政策变动、市场波动、工程事故等风险，及时提出应对措施；</w:t>
            </w:r>
          </w:p>
          <w:p w14:paraId="040F475B">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5.</w:t>
            </w:r>
            <w:r>
              <w:rPr>
                <w:rFonts w:hint="default" w:ascii="Times New Roman" w:hAnsi="Times New Roman" w:eastAsia="方正仿宋_GBK" w:cs="Times New Roman"/>
                <w:color w:val="000000" w:themeColor="text1"/>
                <w:sz w:val="22"/>
                <w:highlight w:val="none"/>
                <w14:textFill>
                  <w14:solidFill>
                    <w14:schemeClr w14:val="tx1"/>
                  </w14:solidFill>
                </w14:textFill>
              </w:rPr>
              <w:t>完成领导安排的其它工作任务。</w:t>
            </w:r>
          </w:p>
          <w:p w14:paraId="245454C3">
            <w:pPr>
              <w:snapToGrid w:val="0"/>
              <w:spacing w:line="240" w:lineRule="exact"/>
              <w:ind w:firstLine="0" w:firstLineChars="0"/>
              <w:contextualSpacing/>
              <w:textAlignment w:val="center"/>
              <w:rPr>
                <w:rFonts w:hint="default" w:ascii="Times New Roman" w:hAnsi="Times New Roman" w:eastAsia="方正仿宋_GBK" w:cs="Times New Roman"/>
                <w:color w:val="000000" w:themeColor="text1"/>
                <w:kern w:val="2"/>
                <w:sz w:val="22"/>
                <w:szCs w:val="22"/>
                <w:highlight w:val="none"/>
                <w:lang w:val="en-US" w:eastAsia="zh-CN" w:bidi="ar-SA"/>
                <w14:textFill>
                  <w14:solidFill>
                    <w14:schemeClr w14:val="tx1"/>
                  </w14:solidFill>
                </w14:textFill>
              </w:rPr>
            </w:pPr>
          </w:p>
        </w:tc>
        <w:tc>
          <w:tcPr>
            <w:tcW w:w="945" w:type="dxa"/>
            <w:vMerge w:val="continue"/>
            <w:vAlign w:val="center"/>
          </w:tcPr>
          <w:p w14:paraId="641D6165">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860" w:type="dxa"/>
            <w:vMerge w:val="continue"/>
            <w:tcMar>
              <w:top w:w="15" w:type="dxa"/>
              <w:left w:w="15" w:type="dxa"/>
              <w:right w:w="15" w:type="dxa"/>
            </w:tcMar>
            <w:vAlign w:val="center"/>
          </w:tcPr>
          <w:p w14:paraId="28915162">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p>
        </w:tc>
      </w:tr>
      <w:tr w14:paraId="514B9BBD">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7" w:hRule="atLeast"/>
          <w:jc w:val="center"/>
        </w:trPr>
        <w:tc>
          <w:tcPr>
            <w:tcW w:w="709" w:type="dxa"/>
            <w:shd w:val="clear" w:color="auto" w:fill="auto"/>
            <w:tcMar>
              <w:top w:w="15" w:type="dxa"/>
              <w:left w:w="15" w:type="dxa"/>
              <w:right w:w="15" w:type="dxa"/>
            </w:tcMar>
            <w:vAlign w:val="center"/>
          </w:tcPr>
          <w:p w14:paraId="0CB373A2">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eastAsia" w:cs="Times New Roman"/>
                <w:color w:val="000000" w:themeColor="text1"/>
                <w:kern w:val="0"/>
                <w:sz w:val="22"/>
                <w:highlight w:val="none"/>
                <w:lang w:val="en-US" w:eastAsia="zh-CN"/>
                <w14:textFill>
                  <w14:solidFill>
                    <w14:schemeClr w14:val="tx1"/>
                  </w14:solidFill>
                </w14:textFill>
              </w:rPr>
              <w:t>GT2025010</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w:t>
            </w:r>
          </w:p>
        </w:tc>
        <w:tc>
          <w:tcPr>
            <w:tcW w:w="983" w:type="dxa"/>
            <w:vMerge w:val="restart"/>
            <w:shd w:val="clear" w:color="auto" w:fill="auto"/>
            <w:tcMar>
              <w:top w:w="15" w:type="dxa"/>
              <w:left w:w="15" w:type="dxa"/>
              <w:right w:w="15" w:type="dxa"/>
            </w:tcMar>
            <w:vAlign w:val="center"/>
          </w:tcPr>
          <w:p w14:paraId="500963C8">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集团本部</w:t>
            </w:r>
          </w:p>
          <w:p w14:paraId="09CAD0D0">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p>
        </w:tc>
        <w:tc>
          <w:tcPr>
            <w:tcW w:w="795" w:type="dxa"/>
            <w:shd w:val="clear" w:color="auto" w:fill="auto"/>
            <w:tcMar>
              <w:top w:w="15" w:type="dxa"/>
              <w:left w:w="15" w:type="dxa"/>
              <w:right w:w="15" w:type="dxa"/>
            </w:tcMar>
            <w:vAlign w:val="center"/>
          </w:tcPr>
          <w:p w14:paraId="6B5B2E37">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投资部风控岗（风控经理）</w:t>
            </w:r>
          </w:p>
        </w:tc>
        <w:tc>
          <w:tcPr>
            <w:tcW w:w="750" w:type="dxa"/>
            <w:shd w:val="clear" w:color="auto" w:fill="auto"/>
            <w:tcMar>
              <w:top w:w="15" w:type="dxa"/>
              <w:left w:w="15" w:type="dxa"/>
              <w:right w:w="15" w:type="dxa"/>
            </w:tcMar>
            <w:vAlign w:val="center"/>
          </w:tcPr>
          <w:p w14:paraId="6E8EF00B">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w:t>
            </w:r>
          </w:p>
        </w:tc>
        <w:tc>
          <w:tcPr>
            <w:tcW w:w="945" w:type="dxa"/>
            <w:shd w:val="clear" w:color="auto" w:fill="auto"/>
            <w:tcMar>
              <w:top w:w="15" w:type="dxa"/>
              <w:left w:w="15" w:type="dxa"/>
              <w:right w:w="15" w:type="dxa"/>
            </w:tcMar>
            <w:vAlign w:val="center"/>
          </w:tcPr>
          <w:p w14:paraId="14816E0B">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本科及以上学历</w:t>
            </w:r>
          </w:p>
        </w:tc>
        <w:tc>
          <w:tcPr>
            <w:tcW w:w="915" w:type="dxa"/>
            <w:shd w:val="clear" w:color="auto" w:fill="auto"/>
            <w:tcMar>
              <w:top w:w="15" w:type="dxa"/>
              <w:left w:w="15" w:type="dxa"/>
              <w:right w:w="15" w:type="dxa"/>
            </w:tcMar>
            <w:vAlign w:val="center"/>
          </w:tcPr>
          <w:p w14:paraId="6C1D41E9">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法学、审计、会计等相关专业</w:t>
            </w:r>
          </w:p>
        </w:tc>
        <w:tc>
          <w:tcPr>
            <w:tcW w:w="628" w:type="dxa"/>
            <w:shd w:val="clear" w:color="auto" w:fill="auto"/>
            <w:tcMar>
              <w:top w:w="15" w:type="dxa"/>
              <w:left w:w="15" w:type="dxa"/>
              <w:right w:w="15" w:type="dxa"/>
            </w:tcMar>
            <w:vAlign w:val="center"/>
          </w:tcPr>
          <w:p w14:paraId="30ACA9CB">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40周岁以下</w:t>
            </w:r>
          </w:p>
        </w:tc>
        <w:tc>
          <w:tcPr>
            <w:tcW w:w="4058" w:type="dxa"/>
            <w:shd w:val="clear" w:color="auto" w:fill="auto"/>
            <w:tcMar>
              <w:top w:w="15" w:type="dxa"/>
              <w:left w:w="15" w:type="dxa"/>
              <w:right w:w="15" w:type="dxa"/>
            </w:tcMar>
            <w:vAlign w:val="center"/>
          </w:tcPr>
          <w:p w14:paraId="2EFDD401">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1.3年以上投资相关的法律、监察、稽核，或者资产管理行业合规、风控、监管和自律管理等相关工作经验；</w:t>
            </w:r>
          </w:p>
          <w:p w14:paraId="66A49D4F">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具有较强的逻辑和应变能力，具备独立解决法律问题的能力；具有较强的思考能力、沟通能力和写作能力，熟练掌握基金法、经济法、合同法等法律法规及金融行业监管规定；具备高度的责任心和团队精神，能独立开展项目法务工作；</w:t>
            </w:r>
          </w:p>
          <w:p w14:paraId="6ECD0865">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3.具备政府引导基金、VC创投基金、银行或证券风控工作经验者优先；</w:t>
            </w:r>
          </w:p>
          <w:p w14:paraId="4D2387AC">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4.有注册会计师、律师</w:t>
            </w:r>
            <w:r>
              <w:rPr>
                <w:rFonts w:hint="eastAsia" w:cs="Times New Roman"/>
                <w:color w:val="000000" w:themeColor="text1"/>
                <w:kern w:val="0"/>
                <w:sz w:val="22"/>
                <w:highlight w:val="none"/>
                <w:lang w:val="en-US" w:eastAsia="zh-CN"/>
                <w14:textFill>
                  <w14:solidFill>
                    <w14:schemeClr w14:val="tx1"/>
                  </w14:solidFill>
                </w14:textFill>
              </w:rPr>
              <w:t>执业</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资格证等。</w:t>
            </w:r>
          </w:p>
        </w:tc>
        <w:tc>
          <w:tcPr>
            <w:tcW w:w="3788" w:type="dxa"/>
            <w:shd w:val="clear" w:color="auto" w:fill="auto"/>
            <w:vAlign w:val="top"/>
          </w:tcPr>
          <w:p w14:paraId="23F40828">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1</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.牵头制定投资业务合规管理办法、操作指引等制度，明确投资决策、交易结构、合同签署等环节的合规要求；</w:t>
            </w:r>
          </w:p>
          <w:p w14:paraId="276DCE60">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2.跟踪国内外投资相关法律法规，监管政策及行业自律规则的变化，及时更新公司合规标准；</w:t>
            </w:r>
          </w:p>
          <w:p w14:paraId="3EB82AC6">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3.对拟投资项目进行全流程合规性审核，提出投资建议；</w:t>
            </w:r>
          </w:p>
          <w:p w14:paraId="6B76E52F">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4.对接监管机构、中介机构，配合合规检查、审计及备案工作（如私募基金产品备案、重大事项报告）等；</w:t>
            </w:r>
          </w:p>
          <w:p w14:paraId="30011341">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2"/>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5.</w:t>
            </w:r>
            <w:r>
              <w:rPr>
                <w:rFonts w:hint="default" w:ascii="Times New Roman" w:hAnsi="Times New Roman" w:eastAsia="方正仿宋_GBK" w:cs="Times New Roman"/>
                <w:color w:val="000000" w:themeColor="text1"/>
                <w:sz w:val="22"/>
                <w:highlight w:val="none"/>
                <w14:textFill>
                  <w14:solidFill>
                    <w14:schemeClr w14:val="tx1"/>
                  </w14:solidFill>
                </w14:textFill>
              </w:rPr>
              <w:t>完成领导安排的其它工作任务。</w:t>
            </w:r>
          </w:p>
        </w:tc>
        <w:tc>
          <w:tcPr>
            <w:tcW w:w="945" w:type="dxa"/>
            <w:vMerge w:val="restart"/>
            <w:vAlign w:val="center"/>
          </w:tcPr>
          <w:p w14:paraId="62399147">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执行公司薪酬体系</w:t>
            </w:r>
          </w:p>
          <w:p w14:paraId="25432F9E">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p w14:paraId="6285A016">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860" w:type="dxa"/>
            <w:vMerge w:val="restart"/>
            <w:tcMar>
              <w:top w:w="15" w:type="dxa"/>
              <w:left w:w="15" w:type="dxa"/>
              <w:right w:w="15" w:type="dxa"/>
            </w:tcMar>
            <w:vAlign w:val="center"/>
          </w:tcPr>
          <w:p w14:paraId="4DAC3F17">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符合回避制度</w:t>
            </w:r>
          </w:p>
          <w:p w14:paraId="0D945E86">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p>
          <w:p w14:paraId="1AEA75D6">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p>
          <w:p w14:paraId="781035C7">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p>
        </w:tc>
      </w:tr>
      <w:tr w14:paraId="6EC8BAB8">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7" w:hRule="atLeast"/>
          <w:jc w:val="center"/>
        </w:trPr>
        <w:tc>
          <w:tcPr>
            <w:tcW w:w="709" w:type="dxa"/>
            <w:shd w:val="clear" w:color="auto" w:fill="auto"/>
            <w:tcMar>
              <w:top w:w="15" w:type="dxa"/>
              <w:left w:w="15" w:type="dxa"/>
              <w:right w:w="15" w:type="dxa"/>
            </w:tcMar>
            <w:vAlign w:val="center"/>
          </w:tcPr>
          <w:p w14:paraId="533A7080">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eastAsia" w:cs="Times New Roman"/>
                <w:color w:val="000000" w:themeColor="text1"/>
                <w:kern w:val="0"/>
                <w:sz w:val="22"/>
                <w:highlight w:val="none"/>
                <w:lang w:val="en-US" w:eastAsia="zh-CN"/>
                <w14:textFill>
                  <w14:solidFill>
                    <w14:schemeClr w14:val="tx1"/>
                  </w14:solidFill>
                </w14:textFill>
              </w:rPr>
              <w:t>GT2025010</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5</w:t>
            </w:r>
          </w:p>
        </w:tc>
        <w:tc>
          <w:tcPr>
            <w:tcW w:w="983" w:type="dxa"/>
            <w:vMerge w:val="continue"/>
            <w:shd w:val="clear" w:color="auto" w:fill="auto"/>
            <w:tcMar>
              <w:top w:w="15" w:type="dxa"/>
              <w:left w:w="15" w:type="dxa"/>
              <w:right w:w="15" w:type="dxa"/>
            </w:tcMar>
            <w:vAlign w:val="center"/>
          </w:tcPr>
          <w:p w14:paraId="5D930A4B">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p>
        </w:tc>
        <w:tc>
          <w:tcPr>
            <w:tcW w:w="795" w:type="dxa"/>
            <w:shd w:val="clear" w:color="auto" w:fill="auto"/>
            <w:tcMar>
              <w:top w:w="15" w:type="dxa"/>
              <w:left w:w="15" w:type="dxa"/>
              <w:right w:w="15" w:type="dxa"/>
            </w:tcMar>
            <w:vAlign w:val="center"/>
          </w:tcPr>
          <w:p w14:paraId="1026040F">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集团投资部风控岗（风控助理）</w:t>
            </w:r>
          </w:p>
        </w:tc>
        <w:tc>
          <w:tcPr>
            <w:tcW w:w="750" w:type="dxa"/>
            <w:shd w:val="clear" w:color="auto" w:fill="auto"/>
            <w:tcMar>
              <w:top w:w="15" w:type="dxa"/>
              <w:left w:w="15" w:type="dxa"/>
              <w:right w:w="15" w:type="dxa"/>
            </w:tcMar>
            <w:vAlign w:val="center"/>
          </w:tcPr>
          <w:p w14:paraId="75FE583B">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w:t>
            </w:r>
          </w:p>
        </w:tc>
        <w:tc>
          <w:tcPr>
            <w:tcW w:w="945" w:type="dxa"/>
            <w:shd w:val="clear" w:color="auto" w:fill="auto"/>
            <w:tcMar>
              <w:top w:w="15" w:type="dxa"/>
              <w:left w:w="15" w:type="dxa"/>
              <w:right w:w="15" w:type="dxa"/>
            </w:tcMar>
            <w:vAlign w:val="center"/>
          </w:tcPr>
          <w:p w14:paraId="73F4A260">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本科及以上学历</w:t>
            </w:r>
          </w:p>
        </w:tc>
        <w:tc>
          <w:tcPr>
            <w:tcW w:w="915" w:type="dxa"/>
            <w:shd w:val="clear" w:color="auto" w:fill="auto"/>
            <w:tcMar>
              <w:top w:w="15" w:type="dxa"/>
              <w:left w:w="15" w:type="dxa"/>
              <w:right w:w="15" w:type="dxa"/>
            </w:tcMar>
            <w:vAlign w:val="center"/>
          </w:tcPr>
          <w:p w14:paraId="1E50F50A">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法学、审计、会计等相关专业</w:t>
            </w:r>
          </w:p>
        </w:tc>
        <w:tc>
          <w:tcPr>
            <w:tcW w:w="628" w:type="dxa"/>
            <w:shd w:val="clear" w:color="auto" w:fill="auto"/>
            <w:tcMar>
              <w:top w:w="15" w:type="dxa"/>
              <w:left w:w="15" w:type="dxa"/>
              <w:right w:w="15" w:type="dxa"/>
            </w:tcMar>
            <w:vAlign w:val="center"/>
          </w:tcPr>
          <w:p w14:paraId="5B5791A9">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35</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周岁以下</w:t>
            </w:r>
          </w:p>
        </w:tc>
        <w:tc>
          <w:tcPr>
            <w:tcW w:w="4058" w:type="dxa"/>
            <w:shd w:val="clear" w:color="auto" w:fill="auto"/>
            <w:tcMar>
              <w:top w:w="15" w:type="dxa"/>
              <w:left w:w="15" w:type="dxa"/>
              <w:right w:w="15" w:type="dxa"/>
            </w:tcMar>
            <w:vAlign w:val="center"/>
          </w:tcPr>
          <w:p w14:paraId="34CA9FE3">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1.具有较强的逻辑和应变能力，具备独立解决法律问题的能力；具有较强的思考能力、沟通能力和写作能力，熟练掌握基金法、经济法、合同法等法律法规及金融行业监管规定；具备高度的责任心和团队精神；</w:t>
            </w:r>
          </w:p>
          <w:p w14:paraId="24369510">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2.具备政府引导基金、VC创投基金、银行或证券风控工作经验者优先；</w:t>
            </w:r>
          </w:p>
          <w:p w14:paraId="004E4312">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3.有注册会计师、律师</w:t>
            </w:r>
            <w:r>
              <w:rPr>
                <w:rFonts w:hint="eastAsia" w:cs="Times New Roman"/>
                <w:color w:val="000000" w:themeColor="text1"/>
                <w:kern w:val="0"/>
                <w:sz w:val="22"/>
                <w:highlight w:val="none"/>
                <w:lang w:val="en-US" w:eastAsia="zh-CN"/>
                <w14:textFill>
                  <w14:solidFill>
                    <w14:schemeClr w14:val="tx1"/>
                  </w14:solidFill>
                </w14:textFill>
              </w:rPr>
              <w:t>执业</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资格证等相关职业资格证书者优先。</w:t>
            </w:r>
          </w:p>
        </w:tc>
        <w:tc>
          <w:tcPr>
            <w:tcW w:w="3788" w:type="dxa"/>
            <w:shd w:val="clear" w:color="auto" w:fill="auto"/>
            <w:vAlign w:val="top"/>
          </w:tcPr>
          <w:p w14:paraId="371A7604">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1</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.协助制定投资业务合规管理办法、操作指引等制度，明确投资决策、交易结构、合同签署等环节的合规要求；</w:t>
            </w:r>
          </w:p>
          <w:p w14:paraId="6127007F">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2.跟踪国内外投资相关法律法规，监管政策及行业自律规则的变化，及时更新公司合规标准；</w:t>
            </w:r>
          </w:p>
          <w:p w14:paraId="4137B61D">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3.对拟投资项目进行全流程合规性审核，提出投资建议；</w:t>
            </w:r>
          </w:p>
          <w:p w14:paraId="06D21D47">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4.配合开展投资业务合规性专项检查，排查违规隐患，汇总投资业务合规执行情况；</w:t>
            </w:r>
          </w:p>
          <w:p w14:paraId="71143746">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2"/>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5.</w:t>
            </w:r>
            <w:r>
              <w:rPr>
                <w:rFonts w:hint="default" w:ascii="Times New Roman" w:hAnsi="Times New Roman" w:eastAsia="方正仿宋_GBK" w:cs="Times New Roman"/>
                <w:color w:val="000000" w:themeColor="text1"/>
                <w:sz w:val="22"/>
                <w:highlight w:val="none"/>
                <w14:textFill>
                  <w14:solidFill>
                    <w14:schemeClr w14:val="tx1"/>
                  </w14:solidFill>
                </w14:textFill>
              </w:rPr>
              <w:t>完成领导安排的其它工作任务。</w:t>
            </w:r>
          </w:p>
        </w:tc>
        <w:tc>
          <w:tcPr>
            <w:tcW w:w="945" w:type="dxa"/>
            <w:vMerge w:val="continue"/>
            <w:vAlign w:val="center"/>
          </w:tcPr>
          <w:p w14:paraId="6A15CDDC">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860" w:type="dxa"/>
            <w:vMerge w:val="continue"/>
            <w:tcMar>
              <w:top w:w="15" w:type="dxa"/>
              <w:left w:w="15" w:type="dxa"/>
              <w:right w:w="15" w:type="dxa"/>
            </w:tcMar>
            <w:vAlign w:val="center"/>
          </w:tcPr>
          <w:p w14:paraId="6B13163C">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p>
        </w:tc>
      </w:tr>
      <w:tr w14:paraId="27DF52F9">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5" w:hRule="atLeast"/>
          <w:jc w:val="center"/>
        </w:trPr>
        <w:tc>
          <w:tcPr>
            <w:tcW w:w="709" w:type="dxa"/>
            <w:tcMar>
              <w:top w:w="15" w:type="dxa"/>
              <w:left w:w="15" w:type="dxa"/>
              <w:right w:w="15" w:type="dxa"/>
            </w:tcMar>
            <w:vAlign w:val="center"/>
          </w:tcPr>
          <w:p w14:paraId="6BCE934B">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cs="Times New Roman"/>
                <w:color w:val="000000" w:themeColor="text1"/>
                <w:kern w:val="0"/>
                <w:sz w:val="22"/>
                <w:highlight w:val="none"/>
                <w:lang w:val="en-US" w:eastAsia="zh-CN"/>
                <w14:textFill>
                  <w14:solidFill>
                    <w14:schemeClr w14:val="tx1"/>
                  </w14:solidFill>
                </w14:textFill>
              </w:rPr>
              <w:t>GT2025010</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6</w:t>
            </w:r>
          </w:p>
        </w:tc>
        <w:tc>
          <w:tcPr>
            <w:tcW w:w="983" w:type="dxa"/>
            <w:tcMar>
              <w:top w:w="15" w:type="dxa"/>
              <w:left w:w="15" w:type="dxa"/>
              <w:right w:w="15" w:type="dxa"/>
            </w:tcMar>
            <w:vAlign w:val="center"/>
          </w:tcPr>
          <w:p w14:paraId="6B55A2E7">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广安金财集团下属广安小平故里发展基金管理有限公司</w:t>
            </w:r>
          </w:p>
        </w:tc>
        <w:tc>
          <w:tcPr>
            <w:tcW w:w="795" w:type="dxa"/>
            <w:tcMar>
              <w:top w:w="15" w:type="dxa"/>
              <w:left w:w="15" w:type="dxa"/>
              <w:right w:w="15" w:type="dxa"/>
            </w:tcMar>
            <w:vAlign w:val="center"/>
          </w:tcPr>
          <w:p w14:paraId="6103497F">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投资管理岗（投资经理）</w:t>
            </w:r>
          </w:p>
        </w:tc>
        <w:tc>
          <w:tcPr>
            <w:tcW w:w="750" w:type="dxa"/>
            <w:tcMar>
              <w:top w:w="15" w:type="dxa"/>
              <w:left w:w="15" w:type="dxa"/>
              <w:right w:w="15" w:type="dxa"/>
            </w:tcMar>
            <w:vAlign w:val="center"/>
          </w:tcPr>
          <w:p w14:paraId="361029A5">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w:t>
            </w:r>
          </w:p>
        </w:tc>
        <w:tc>
          <w:tcPr>
            <w:tcW w:w="945" w:type="dxa"/>
            <w:tcMar>
              <w:top w:w="15" w:type="dxa"/>
              <w:left w:w="15" w:type="dxa"/>
              <w:right w:w="15" w:type="dxa"/>
            </w:tcMar>
            <w:vAlign w:val="center"/>
          </w:tcPr>
          <w:p w14:paraId="291DAE47">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本科及以上学历</w:t>
            </w:r>
          </w:p>
        </w:tc>
        <w:tc>
          <w:tcPr>
            <w:tcW w:w="915" w:type="dxa"/>
            <w:shd w:val="clear" w:color="auto" w:fill="auto"/>
            <w:tcMar>
              <w:top w:w="15" w:type="dxa"/>
              <w:left w:w="15" w:type="dxa"/>
              <w:right w:w="15" w:type="dxa"/>
            </w:tcMar>
            <w:vAlign w:val="center"/>
          </w:tcPr>
          <w:p w14:paraId="20153D61">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金融、经济、管理</w:t>
            </w:r>
            <w:r>
              <w:rPr>
                <w:rFonts w:hint="eastAsia" w:cs="Times New Roman"/>
                <w:color w:val="000000" w:themeColor="text1"/>
                <w:kern w:val="0"/>
                <w:sz w:val="22"/>
                <w:highlight w:val="none"/>
                <w:lang w:val="en-US" w:eastAsia="zh-CN"/>
                <w14:textFill>
                  <w14:solidFill>
                    <w14:schemeClr w14:val="tx1"/>
                  </w14:solidFill>
                </w14:textFill>
              </w:rPr>
              <w:t>、理工</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等相关专业</w:t>
            </w:r>
          </w:p>
        </w:tc>
        <w:tc>
          <w:tcPr>
            <w:tcW w:w="628" w:type="dxa"/>
            <w:shd w:val="clear" w:color="auto" w:fill="auto"/>
            <w:tcMar>
              <w:top w:w="15" w:type="dxa"/>
              <w:left w:w="15" w:type="dxa"/>
              <w:right w:w="15" w:type="dxa"/>
            </w:tcMar>
            <w:vAlign w:val="center"/>
          </w:tcPr>
          <w:p w14:paraId="65114695">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40周岁以下</w:t>
            </w:r>
          </w:p>
        </w:tc>
        <w:tc>
          <w:tcPr>
            <w:tcW w:w="4058" w:type="dxa"/>
            <w:tcMar>
              <w:top w:w="15" w:type="dxa"/>
              <w:left w:w="15" w:type="dxa"/>
              <w:right w:w="15" w:type="dxa"/>
            </w:tcMar>
            <w:vAlign w:val="center"/>
          </w:tcPr>
          <w:p w14:paraId="52138A22">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w:t>
            </w:r>
            <w:r>
              <w:rPr>
                <w:rFonts w:hint="eastAsia" w:cs="Times New Roman"/>
                <w:color w:val="000000" w:themeColor="text1"/>
                <w:kern w:val="0"/>
                <w:sz w:val="22"/>
                <w:highlight w:val="none"/>
                <w:lang w:val="en-US" w:eastAsia="zh-CN"/>
                <w14:textFill>
                  <w14:solidFill>
                    <w14:schemeClr w14:val="tx1"/>
                  </w14:solidFill>
                </w14:textFill>
              </w:rPr>
              <w:t>具备基金从业资格，</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具有</w:t>
            </w:r>
            <w:r>
              <w:rPr>
                <w:rFonts w:hint="eastAsia" w:cs="Times New Roman"/>
                <w:color w:val="000000" w:themeColor="text1"/>
                <w:kern w:val="0"/>
                <w:sz w:val="22"/>
                <w:highlight w:val="none"/>
                <w:lang w:val="en-US" w:eastAsia="zh-CN"/>
                <w14:textFill>
                  <w14:solidFill>
                    <w14:schemeClr w14:val="tx1"/>
                  </w14:solidFill>
                </w14:textFill>
              </w:rPr>
              <w:t>3</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年以上私募基金</w:t>
            </w:r>
            <w:r>
              <w:rPr>
                <w:rFonts w:hint="eastAsia" w:cs="Times New Roman"/>
                <w:color w:val="000000" w:themeColor="text1"/>
                <w:kern w:val="0"/>
                <w:sz w:val="22"/>
                <w:highlight w:val="none"/>
                <w:lang w:val="en-US" w:eastAsia="zh-CN"/>
                <w14:textFill>
                  <w14:solidFill>
                    <w14:schemeClr w14:val="tx1"/>
                  </w14:solidFill>
                </w14:textFill>
              </w:rPr>
              <w:t>相关</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投资工作经验，负责过至少3个项目的完整投资全过程</w:t>
            </w:r>
            <w:r>
              <w:rPr>
                <w:rFonts w:hint="eastAsia" w:cs="Times New Roman"/>
                <w:color w:val="000000" w:themeColor="text1"/>
                <w:kern w:val="0"/>
                <w:sz w:val="22"/>
                <w:highlight w:val="none"/>
                <w:lang w:val="en-US" w:eastAsia="zh-CN"/>
                <w14:textFill>
                  <w14:solidFill>
                    <w14:schemeClr w14:val="tx1"/>
                  </w14:solidFill>
                </w14:textFill>
              </w:rPr>
              <w:t>，具备1个项目成功退出业绩</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w:t>
            </w:r>
          </w:p>
          <w:p w14:paraId="4A8D0D1E">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2.对商业逻辑和行业发展周期有深刻认知，熟悉</w:t>
            </w:r>
            <w:r>
              <w:rPr>
                <w:rFonts w:hint="eastAsia" w:cs="Times New Roman"/>
                <w:color w:val="000000" w:themeColor="text1"/>
                <w:kern w:val="0"/>
                <w:sz w:val="22"/>
                <w:highlight w:val="none"/>
                <w:lang w:val="en-US" w:eastAsia="zh-CN"/>
                <w14:textFill>
                  <w14:solidFill>
                    <w14:schemeClr w14:val="tx1"/>
                  </w14:solidFill>
                </w14:textFill>
              </w:rPr>
              <w:t>生物医药、</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新能源、新材料、</w:t>
            </w:r>
            <w:r>
              <w:rPr>
                <w:rFonts w:hint="eastAsia" w:cs="Times New Roman"/>
                <w:color w:val="000000" w:themeColor="text1"/>
                <w:kern w:val="0"/>
                <w:sz w:val="22"/>
                <w:highlight w:val="none"/>
                <w:lang w:val="en-US" w:eastAsia="zh-CN"/>
                <w14:textFill>
                  <w14:solidFill>
                    <w14:schemeClr w14:val="tx1"/>
                  </w14:solidFill>
                </w14:textFill>
              </w:rPr>
              <w:t>高端装备制造</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等两个以上行业，有</w:t>
            </w:r>
            <w:r>
              <w:rPr>
                <w:rFonts w:hint="eastAsia" w:cs="Times New Roman"/>
                <w:color w:val="000000" w:themeColor="text1"/>
                <w:kern w:val="0"/>
                <w:sz w:val="22"/>
                <w:highlight w:val="none"/>
                <w:lang w:val="en-US" w:eastAsia="zh-CN"/>
                <w14:textFill>
                  <w14:solidFill>
                    <w14:schemeClr w14:val="tx1"/>
                  </w14:solidFill>
                </w14:textFill>
              </w:rPr>
              <w:t>市场化项目</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资源者优先；</w:t>
            </w:r>
          </w:p>
          <w:p w14:paraId="221EC748">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3.具有较强的战略规划能力、市场拓展及商务谈判、团队</w:t>
            </w:r>
            <w:r>
              <w:rPr>
                <w:rFonts w:hint="eastAsia" w:cs="Times New Roman"/>
                <w:color w:val="000000" w:themeColor="text1"/>
                <w:kern w:val="0"/>
                <w:sz w:val="22"/>
                <w:highlight w:val="none"/>
                <w:lang w:val="en-US" w:eastAsia="zh-CN"/>
                <w14:textFill>
                  <w14:solidFill>
                    <w14:schemeClr w14:val="tx1"/>
                  </w14:solidFill>
                </w14:textFill>
              </w:rPr>
              <w:t>协作</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能力；具有强烈的事业心和责任感，善于沟通合作；</w:t>
            </w:r>
          </w:p>
          <w:p w14:paraId="48154612">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cs="Times New Roman"/>
                <w:color w:val="000000" w:themeColor="text1"/>
                <w:kern w:val="0"/>
                <w:sz w:val="22"/>
                <w:highlight w:val="none"/>
                <w:lang w:val="en-US" w:eastAsia="zh-CN"/>
                <w14:textFill>
                  <w14:solidFill>
                    <w14:schemeClr w14:val="tx1"/>
                  </w14:solidFill>
                </w14:textFill>
              </w:rPr>
              <w:t>4</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.具有较强的风控合规意识，优秀的研究分析能力、逻辑判断能力、持续学习及创新能力；</w:t>
            </w:r>
          </w:p>
          <w:p w14:paraId="53D55E0F">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cs="Times New Roman"/>
                <w:color w:val="000000" w:themeColor="text1"/>
                <w:kern w:val="0"/>
                <w:sz w:val="22"/>
                <w:highlight w:val="none"/>
                <w:lang w:val="en-US" w:eastAsia="zh-CN"/>
                <w14:textFill>
                  <w14:solidFill>
                    <w14:schemeClr w14:val="tx1"/>
                  </w14:solidFill>
                </w14:textFill>
              </w:rPr>
              <w:t>5.</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理工类专业背景，同时具有证券、银行</w:t>
            </w:r>
            <w:r>
              <w:rPr>
                <w:rFonts w:hint="eastAsia" w:cs="Times New Roman"/>
                <w:color w:val="000000" w:themeColor="text1"/>
                <w:kern w:val="0"/>
                <w:sz w:val="22"/>
                <w:highlight w:val="none"/>
                <w:lang w:val="en-US" w:eastAsia="zh-CN"/>
                <w14:textFill>
                  <w14:solidFill>
                    <w14:schemeClr w14:val="tx1"/>
                  </w14:solidFill>
                </w14:textFill>
              </w:rPr>
              <w:t>、</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保险机构从业经验者</w:t>
            </w:r>
            <w:r>
              <w:rPr>
                <w:rFonts w:hint="eastAsia" w:cs="Times New Roman"/>
                <w:color w:val="000000" w:themeColor="text1"/>
                <w:kern w:val="0"/>
                <w:sz w:val="22"/>
                <w:highlight w:val="none"/>
                <w:lang w:val="en-US" w:eastAsia="zh-CN"/>
                <w14:textFill>
                  <w14:solidFill>
                    <w14:schemeClr w14:val="tx1"/>
                  </w14:solidFill>
                </w14:textFill>
              </w:rPr>
              <w:t>或中级会计师职称者</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优先</w:t>
            </w:r>
            <w:r>
              <w:rPr>
                <w:rFonts w:hint="eastAsia" w:cs="Times New Roman"/>
                <w:color w:val="000000" w:themeColor="text1"/>
                <w:kern w:val="0"/>
                <w:sz w:val="22"/>
                <w:highlight w:val="none"/>
                <w:lang w:val="en-US" w:eastAsia="zh-CN"/>
                <w14:textFill>
                  <w14:solidFill>
                    <w14:schemeClr w14:val="tx1"/>
                  </w14:solidFill>
                </w14:textFill>
              </w:rPr>
              <w:t>。</w:t>
            </w:r>
          </w:p>
        </w:tc>
        <w:tc>
          <w:tcPr>
            <w:tcW w:w="3788" w:type="dxa"/>
            <w:vAlign w:val="top"/>
          </w:tcPr>
          <w:p w14:paraId="1C0FF56E">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1</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.负责</w:t>
            </w: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对公司所投</w:t>
            </w:r>
            <w:r>
              <w:rPr>
                <w:rFonts w:hint="eastAsia" w:cs="Times New Roman"/>
                <w:color w:val="000000" w:themeColor="text1"/>
                <w:kern w:val="0"/>
                <w:sz w:val="22"/>
                <w:highlight w:val="none"/>
                <w:lang w:val="en-US" w:eastAsia="zh-CN"/>
                <w14:textFill>
                  <w14:solidFill>
                    <w14:schemeClr w14:val="tx1"/>
                  </w14:solidFill>
                </w14:textFill>
              </w:rPr>
              <w:t>项目</w:t>
            </w: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进行市场调研与行业研究</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，撰写研究报告，识别投资机会；</w:t>
            </w:r>
          </w:p>
          <w:p w14:paraId="314857CB">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2.负责</w:t>
            </w: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进行投资项目的寻找、评估、立项、尽职调查、投后管理、退出等与投资相关的工作</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w:t>
            </w:r>
          </w:p>
          <w:p w14:paraId="0D4AA748">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3.建立并维护与客户良好的合作关系，拓展项目来源渠道；</w:t>
            </w:r>
          </w:p>
          <w:p w14:paraId="5D9AD8F1">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4.负责承办权限范围内的基金项目投资，撰写报告，提出投资建议；</w:t>
            </w:r>
          </w:p>
          <w:p w14:paraId="2A3BF046">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5.跟踪被投项目及企业的经营状况，定期收集财务数据和业务进展，定期分析各类数据，定期监控投资风险；</w:t>
            </w:r>
          </w:p>
          <w:p w14:paraId="2BD9F0E4">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6.</w:t>
            </w:r>
            <w:r>
              <w:rPr>
                <w:rFonts w:hint="default" w:ascii="Times New Roman" w:hAnsi="Times New Roman" w:eastAsia="方正仿宋_GBK" w:cs="Times New Roman"/>
                <w:color w:val="000000" w:themeColor="text1"/>
                <w:sz w:val="22"/>
                <w:highlight w:val="none"/>
                <w14:textFill>
                  <w14:solidFill>
                    <w14:schemeClr w14:val="tx1"/>
                  </w14:solidFill>
                </w14:textFill>
              </w:rPr>
              <w:t>完成</w:t>
            </w:r>
            <w:r>
              <w:rPr>
                <w:rFonts w:hint="eastAsia" w:cs="Times New Roman"/>
                <w:color w:val="000000" w:themeColor="text1"/>
                <w:sz w:val="22"/>
                <w:highlight w:val="none"/>
                <w:lang w:val="en-US" w:eastAsia="zh-CN"/>
                <w14:textFill>
                  <w14:solidFill>
                    <w14:schemeClr w14:val="tx1"/>
                  </w14:solidFill>
                </w14:textFill>
              </w:rPr>
              <w:t>公司</w:t>
            </w:r>
            <w:r>
              <w:rPr>
                <w:rFonts w:hint="default" w:ascii="Times New Roman" w:hAnsi="Times New Roman" w:eastAsia="方正仿宋_GBK" w:cs="Times New Roman"/>
                <w:color w:val="000000" w:themeColor="text1"/>
                <w:sz w:val="22"/>
                <w:highlight w:val="none"/>
                <w14:textFill>
                  <w14:solidFill>
                    <w14:schemeClr w14:val="tx1"/>
                  </w14:solidFill>
                </w14:textFill>
              </w:rPr>
              <w:t>安排的其</w:t>
            </w:r>
            <w:r>
              <w:rPr>
                <w:rFonts w:hint="eastAsia" w:cs="Times New Roman"/>
                <w:color w:val="000000" w:themeColor="text1"/>
                <w:sz w:val="22"/>
                <w:highlight w:val="none"/>
                <w:lang w:eastAsia="zh-CN"/>
                <w14:textFill>
                  <w14:solidFill>
                    <w14:schemeClr w14:val="tx1"/>
                  </w14:solidFill>
                </w14:textFill>
              </w:rPr>
              <w:t>他</w:t>
            </w:r>
            <w:r>
              <w:rPr>
                <w:rFonts w:hint="default" w:ascii="Times New Roman" w:hAnsi="Times New Roman" w:eastAsia="方正仿宋_GBK" w:cs="Times New Roman"/>
                <w:color w:val="000000" w:themeColor="text1"/>
                <w:sz w:val="22"/>
                <w:highlight w:val="none"/>
                <w14:textFill>
                  <w14:solidFill>
                    <w14:schemeClr w14:val="tx1"/>
                  </w14:solidFill>
                </w14:textFill>
              </w:rPr>
              <w:t>工作任务。</w:t>
            </w:r>
          </w:p>
        </w:tc>
        <w:tc>
          <w:tcPr>
            <w:tcW w:w="945" w:type="dxa"/>
            <w:vMerge w:val="restart"/>
            <w:vAlign w:val="center"/>
          </w:tcPr>
          <w:p w14:paraId="3D944585">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执行公司薪酬体系</w:t>
            </w:r>
          </w:p>
          <w:p w14:paraId="50600281">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860" w:type="dxa"/>
            <w:vMerge w:val="restart"/>
            <w:tcMar>
              <w:top w:w="15" w:type="dxa"/>
              <w:left w:w="15" w:type="dxa"/>
              <w:right w:w="15" w:type="dxa"/>
            </w:tcMar>
            <w:vAlign w:val="center"/>
          </w:tcPr>
          <w:p w14:paraId="39280885">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符合回避制度</w:t>
            </w:r>
          </w:p>
          <w:p w14:paraId="030DFACF">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p>
        </w:tc>
      </w:tr>
      <w:tr w14:paraId="3D75E461">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 w:hRule="atLeast"/>
          <w:jc w:val="center"/>
        </w:trPr>
        <w:tc>
          <w:tcPr>
            <w:tcW w:w="709" w:type="dxa"/>
            <w:tcMar>
              <w:top w:w="15" w:type="dxa"/>
              <w:left w:w="15" w:type="dxa"/>
              <w:right w:w="15" w:type="dxa"/>
            </w:tcMar>
            <w:vAlign w:val="center"/>
          </w:tcPr>
          <w:p w14:paraId="73B54AA3">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cs="Times New Roman"/>
                <w:color w:val="000000" w:themeColor="text1"/>
                <w:kern w:val="0"/>
                <w:sz w:val="22"/>
                <w:highlight w:val="none"/>
                <w:lang w:val="en-US" w:eastAsia="zh-CN"/>
                <w14:textFill>
                  <w14:solidFill>
                    <w14:schemeClr w14:val="tx1"/>
                  </w14:solidFill>
                </w14:textFill>
              </w:rPr>
              <w:t>GT2025010</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7</w:t>
            </w:r>
          </w:p>
        </w:tc>
        <w:tc>
          <w:tcPr>
            <w:tcW w:w="983" w:type="dxa"/>
            <w:tcMar>
              <w:top w:w="15" w:type="dxa"/>
              <w:left w:w="15" w:type="dxa"/>
              <w:right w:w="15" w:type="dxa"/>
            </w:tcMar>
            <w:vAlign w:val="center"/>
          </w:tcPr>
          <w:p w14:paraId="749D894F">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广安金澳实业公司下属广安农投园艺有限公司</w:t>
            </w:r>
          </w:p>
        </w:tc>
        <w:tc>
          <w:tcPr>
            <w:tcW w:w="795" w:type="dxa"/>
            <w:tcMar>
              <w:top w:w="15" w:type="dxa"/>
              <w:left w:w="15" w:type="dxa"/>
              <w:right w:w="15" w:type="dxa"/>
            </w:tcMar>
            <w:vAlign w:val="center"/>
          </w:tcPr>
          <w:p w14:paraId="05FF99FE">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园艺设计岗</w:t>
            </w:r>
          </w:p>
        </w:tc>
        <w:tc>
          <w:tcPr>
            <w:tcW w:w="750" w:type="dxa"/>
            <w:tcMar>
              <w:top w:w="15" w:type="dxa"/>
              <w:left w:w="15" w:type="dxa"/>
              <w:right w:w="15" w:type="dxa"/>
            </w:tcMar>
            <w:vAlign w:val="center"/>
          </w:tcPr>
          <w:p w14:paraId="5D1A5740">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w:t>
            </w:r>
          </w:p>
        </w:tc>
        <w:tc>
          <w:tcPr>
            <w:tcW w:w="945" w:type="dxa"/>
            <w:tcMar>
              <w:top w:w="15" w:type="dxa"/>
              <w:left w:w="15" w:type="dxa"/>
              <w:right w:w="15" w:type="dxa"/>
            </w:tcMar>
            <w:vAlign w:val="center"/>
          </w:tcPr>
          <w:p w14:paraId="4D6AA913">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本科及以上学历</w:t>
            </w:r>
          </w:p>
        </w:tc>
        <w:tc>
          <w:tcPr>
            <w:tcW w:w="915" w:type="dxa"/>
            <w:tcMar>
              <w:top w:w="15" w:type="dxa"/>
              <w:left w:w="15" w:type="dxa"/>
              <w:right w:w="15" w:type="dxa"/>
            </w:tcMar>
            <w:vAlign w:val="center"/>
          </w:tcPr>
          <w:p w14:paraId="52B84292">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设计学、广告等相关专业</w:t>
            </w:r>
          </w:p>
        </w:tc>
        <w:tc>
          <w:tcPr>
            <w:tcW w:w="628" w:type="dxa"/>
            <w:tcMar>
              <w:top w:w="15" w:type="dxa"/>
              <w:left w:w="15" w:type="dxa"/>
              <w:right w:w="15" w:type="dxa"/>
            </w:tcMar>
            <w:vAlign w:val="center"/>
          </w:tcPr>
          <w:p w14:paraId="25694C13">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35</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周岁以下</w:t>
            </w:r>
          </w:p>
        </w:tc>
        <w:tc>
          <w:tcPr>
            <w:tcW w:w="4058" w:type="dxa"/>
            <w:tcMar>
              <w:top w:w="15" w:type="dxa"/>
              <w:left w:w="15" w:type="dxa"/>
              <w:right w:w="15" w:type="dxa"/>
            </w:tcMar>
            <w:vAlign w:val="center"/>
          </w:tcPr>
          <w:p w14:paraId="2F37622D">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1.具有扎实的美术功底、熟悉设计全流程，能独立完成投资项目宣传设计，对设计趋势敏感，具有较强的创新思维和逻辑能力；</w:t>
            </w:r>
          </w:p>
          <w:p w14:paraId="58BE7264">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2.能熟练运用CorelDRAW、PS、AI、CAD等软件进行产品相关的设计；</w:t>
            </w:r>
          </w:p>
          <w:p w14:paraId="27DE7A94">
            <w:pPr>
              <w:snapToGrid w:val="0"/>
              <w:spacing w:line="240" w:lineRule="exact"/>
              <w:ind w:firstLine="0" w:firstLineChars="0"/>
              <w:contextualSpacing/>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3.具有良好的沟通能力和团队协作精神，工作勤奋，认真负责，能独立完成公司安排的工作项目。</w:t>
            </w:r>
          </w:p>
        </w:tc>
        <w:tc>
          <w:tcPr>
            <w:tcW w:w="3788" w:type="dxa"/>
          </w:tcPr>
          <w:p w14:paraId="677551D0">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1.负责园林园艺类项目的全周期设计管理，参与项目概念构思、方案深化设计及施工图绘制，并向甲方清晰阐述设计理念，确保设计方案有效落地实施</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w:t>
            </w:r>
          </w:p>
          <w:p w14:paraId="560F2D1E">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2.负责公司品牌创意与推广策略，统筹品牌形象包装设计，制定并执行基于新媒体的品牌传播与推广计划</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w:t>
            </w:r>
          </w:p>
          <w:p w14:paraId="33B33B48">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3.推动技术创新在项目中的应用，积极跟踪、研究园林园艺领域新材料、新技术，并将其创新性融入项目设计，提升项目技术含量与竞争力</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w:t>
            </w:r>
          </w:p>
          <w:p w14:paraId="293E1730">
            <w:pPr>
              <w:snapToGrid w:val="0"/>
              <w:spacing w:line="240" w:lineRule="exact"/>
              <w:ind w:firstLine="0" w:firstLineChars="0"/>
              <w:contextualSpacing/>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4.洞察市场需求，主导新产品开发，基于市场趋势与公司资源，负责开发符合市场需求的创新型园艺产品</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w:t>
            </w:r>
          </w:p>
          <w:p w14:paraId="4E8D7303">
            <w:pPr>
              <w:snapToGrid w:val="0"/>
              <w:spacing w:line="240" w:lineRule="exact"/>
              <w:ind w:firstLine="0" w:firstLineChars="0"/>
              <w:contextualSpacing/>
              <w:textAlignment w:val="center"/>
              <w:rPr>
                <w:rFonts w:hint="default" w:eastAsia="方正仿宋_GBK"/>
                <w:color w:val="000000" w:themeColor="text1"/>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5.</w:t>
            </w:r>
            <w:r>
              <w:rPr>
                <w:rFonts w:hint="default" w:ascii="Times New Roman" w:hAnsi="Times New Roman" w:eastAsia="方正仿宋_GBK" w:cs="Times New Roman"/>
                <w:color w:val="000000" w:themeColor="text1"/>
                <w:sz w:val="22"/>
                <w:highlight w:val="none"/>
                <w14:textFill>
                  <w14:solidFill>
                    <w14:schemeClr w14:val="tx1"/>
                  </w14:solidFill>
                </w14:textFill>
              </w:rPr>
              <w:t>完成领导安排的其它工作任务。</w:t>
            </w:r>
          </w:p>
        </w:tc>
        <w:tc>
          <w:tcPr>
            <w:tcW w:w="945" w:type="dxa"/>
            <w:vMerge w:val="continue"/>
            <w:vAlign w:val="center"/>
          </w:tcPr>
          <w:p w14:paraId="2DAE7108">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860" w:type="dxa"/>
            <w:vMerge w:val="continue"/>
            <w:tcMar>
              <w:top w:w="15" w:type="dxa"/>
              <w:left w:w="15" w:type="dxa"/>
              <w:right w:w="15" w:type="dxa"/>
            </w:tcMar>
            <w:vAlign w:val="center"/>
          </w:tcPr>
          <w:p w14:paraId="5F17DC14">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p>
        </w:tc>
      </w:tr>
      <w:tr w14:paraId="0EBCB41F">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9" w:hRule="atLeast"/>
          <w:jc w:val="center"/>
        </w:trPr>
        <w:tc>
          <w:tcPr>
            <w:tcW w:w="709" w:type="dxa"/>
            <w:tcMar>
              <w:top w:w="15" w:type="dxa"/>
              <w:left w:w="15" w:type="dxa"/>
              <w:right w:w="15" w:type="dxa"/>
            </w:tcMar>
            <w:vAlign w:val="center"/>
          </w:tcPr>
          <w:p w14:paraId="0CD83D21">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cs="Times New Roman"/>
                <w:color w:val="000000" w:themeColor="text1"/>
                <w:kern w:val="0"/>
                <w:sz w:val="22"/>
                <w:highlight w:val="none"/>
                <w:lang w:val="en-US" w:eastAsia="zh-CN"/>
                <w14:textFill>
                  <w14:solidFill>
                    <w14:schemeClr w14:val="tx1"/>
                  </w14:solidFill>
                </w14:textFill>
              </w:rPr>
              <w:t>GT2025010</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8</w:t>
            </w:r>
          </w:p>
        </w:tc>
        <w:tc>
          <w:tcPr>
            <w:tcW w:w="983" w:type="dxa"/>
            <w:tcMar>
              <w:top w:w="15" w:type="dxa"/>
              <w:left w:w="15" w:type="dxa"/>
              <w:right w:w="15" w:type="dxa"/>
            </w:tcMar>
            <w:vAlign w:val="center"/>
          </w:tcPr>
          <w:p w14:paraId="6E60FAD6">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广安广投大数据集团有限公司</w:t>
            </w:r>
          </w:p>
        </w:tc>
        <w:tc>
          <w:tcPr>
            <w:tcW w:w="795" w:type="dxa"/>
            <w:tcMar>
              <w:top w:w="15" w:type="dxa"/>
              <w:left w:w="15" w:type="dxa"/>
              <w:right w:w="15" w:type="dxa"/>
            </w:tcMar>
            <w:vAlign w:val="center"/>
          </w:tcPr>
          <w:p w14:paraId="2CD769B5">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技术工程师</w:t>
            </w:r>
          </w:p>
        </w:tc>
        <w:tc>
          <w:tcPr>
            <w:tcW w:w="750" w:type="dxa"/>
            <w:tcMar>
              <w:top w:w="15" w:type="dxa"/>
              <w:left w:w="15" w:type="dxa"/>
              <w:right w:w="15" w:type="dxa"/>
            </w:tcMar>
            <w:vAlign w:val="center"/>
          </w:tcPr>
          <w:p w14:paraId="32B1F42C">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w:t>
            </w:r>
          </w:p>
        </w:tc>
        <w:tc>
          <w:tcPr>
            <w:tcW w:w="945" w:type="dxa"/>
            <w:tcMar>
              <w:top w:w="15" w:type="dxa"/>
              <w:left w:w="15" w:type="dxa"/>
              <w:right w:w="15" w:type="dxa"/>
            </w:tcMar>
            <w:vAlign w:val="center"/>
          </w:tcPr>
          <w:p w14:paraId="463C0EED">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本科及以上</w:t>
            </w:r>
            <w:r>
              <w:rPr>
                <w:rFonts w:hint="eastAsia" w:cs="Times New Roman"/>
                <w:color w:val="000000" w:themeColor="text1"/>
                <w:kern w:val="0"/>
                <w:sz w:val="22"/>
                <w:highlight w:val="none"/>
                <w:lang w:eastAsia="zh-CN"/>
                <w14:textFill>
                  <w14:solidFill>
                    <w14:schemeClr w14:val="tx1"/>
                  </w14:solidFill>
                </w14:textFill>
              </w:rPr>
              <w:t>学历</w:t>
            </w:r>
          </w:p>
        </w:tc>
        <w:tc>
          <w:tcPr>
            <w:tcW w:w="915" w:type="dxa"/>
            <w:tcMar>
              <w:top w:w="15" w:type="dxa"/>
              <w:left w:w="15" w:type="dxa"/>
              <w:right w:w="15" w:type="dxa"/>
            </w:tcMar>
            <w:vAlign w:val="center"/>
          </w:tcPr>
          <w:p w14:paraId="6B7FA200">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本科及以上学历，计算机科学与技术、软件工程、电子信息、通信工程等相关专业</w:t>
            </w:r>
          </w:p>
        </w:tc>
        <w:tc>
          <w:tcPr>
            <w:tcW w:w="628" w:type="dxa"/>
            <w:tcMar>
              <w:top w:w="15" w:type="dxa"/>
              <w:left w:w="15" w:type="dxa"/>
              <w:right w:w="15" w:type="dxa"/>
            </w:tcMar>
            <w:vAlign w:val="center"/>
          </w:tcPr>
          <w:p w14:paraId="45ACBD1B">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35</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周岁以下</w:t>
            </w:r>
          </w:p>
        </w:tc>
        <w:tc>
          <w:tcPr>
            <w:tcW w:w="4058" w:type="dxa"/>
            <w:tcMar>
              <w:top w:w="15" w:type="dxa"/>
              <w:left w:w="15" w:type="dxa"/>
              <w:right w:w="15" w:type="dxa"/>
            </w:tcMar>
            <w:vAlign w:val="center"/>
          </w:tcPr>
          <w:p w14:paraId="34577545">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1.具有计算机技术与软件专业技术资格（水平）考试中级及以上证书；</w:t>
            </w:r>
          </w:p>
          <w:p w14:paraId="2FF9F05A">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2.5年以上信息化行业售前或技术支持工作经验（提供相关证明材料），熟悉政府信息化项目的建设流程和需求特点；</w:t>
            </w:r>
          </w:p>
          <w:p w14:paraId="29C49CF8">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3.有智慧城市、政务云、大数据、物联网等相关领域项目经验（提供证明材料）；</w:t>
            </w:r>
          </w:p>
          <w:p w14:paraId="69288F8D">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4.熟悉主流信息化技术（如云计算、大数据、网络通信、信息安全等），能够独立完成技术方案设计；</w:t>
            </w:r>
          </w:p>
          <w:p w14:paraId="2560EF62">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5.具备较强的文档编写能力，能够清晰、准确地表达技术方案和业务逻辑；</w:t>
            </w:r>
          </w:p>
          <w:p w14:paraId="2B865898">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6.熟练使用Office、Visio等工具，具备良好的PPT制作和演示能力；</w:t>
            </w:r>
          </w:p>
          <w:p w14:paraId="0A3C1BC7">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7.具备良好的沟通能力、团队协作能力和客户服务意识，能够与客户建立良好的信任关系；</w:t>
            </w:r>
          </w:p>
          <w:p w14:paraId="025B430D">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8.逻辑思维清晰，具备较强的学习能力和创新意识，能够快速掌握新技术和新知识；</w:t>
            </w:r>
          </w:p>
          <w:p w14:paraId="6423A573">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9.具备较强的抗压能力，能够适应高强度工作节奏。</w:t>
            </w:r>
          </w:p>
        </w:tc>
        <w:tc>
          <w:tcPr>
            <w:tcW w:w="3788" w:type="dxa"/>
            <w:vAlign w:val="center"/>
          </w:tcPr>
          <w:p w14:paraId="63F7660D">
            <w:pPr>
              <w:snapToGrid w:val="0"/>
              <w:spacing w:line="240" w:lineRule="exact"/>
              <w:contextualSpacing/>
              <w:jc w:val="both"/>
              <w:textAlignment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1</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深入了解客户需求，结合智慧城市、政务云、大数据、物联网等领域的前沿技术，设计符合客户需求的技术解决方案</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p w14:paraId="06E99840">
            <w:pPr>
              <w:snapToGrid w:val="0"/>
              <w:spacing w:line="240" w:lineRule="exact"/>
              <w:contextualSpacing/>
              <w:jc w:val="both"/>
              <w:textAlignment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‌2</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为客户提供技术咨询，解答技术难题，确保客户对技术方案有充分的理解</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p w14:paraId="1FA5547A">
            <w:pPr>
              <w:snapToGrid w:val="0"/>
              <w:spacing w:line="240" w:lineRule="exact"/>
              <w:contextualSpacing/>
              <w:jc w:val="both"/>
              <w:textAlignment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‌3</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制作高质量的技术演示PPT，通过生动的演示和清晰的讲解，使客户对技术方案有直观的认识</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p w14:paraId="339E6649">
            <w:pPr>
              <w:snapToGrid w:val="0"/>
              <w:spacing w:line="240" w:lineRule="exact"/>
              <w:contextualSpacing/>
              <w:jc w:val="both"/>
              <w:textAlignment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‌4</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参与项目的售前支持工作，包括技术方案编写、投标等</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售后阶段提供技术支持，确保项目顺利实施和运维</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p w14:paraId="39CEA7E8">
            <w:pPr>
              <w:snapToGrid w:val="0"/>
              <w:spacing w:line="240" w:lineRule="exact"/>
              <w:contextualSpacing/>
              <w:jc w:val="both"/>
              <w:textAlignment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‌5</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编写详细的技术文档，包括方案设计、实施步骤、运维手册等，为后续的项目实施和运维提供参考</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p w14:paraId="116EC28D">
            <w:pPr>
              <w:snapToGrid w:val="0"/>
              <w:spacing w:line="240" w:lineRule="exact"/>
              <w:ind w:firstLine="440" w:firstLineChars="200"/>
              <w:contextualSpacing/>
              <w:jc w:val="both"/>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6</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完成领导安排的其它工作任务。</w:t>
            </w:r>
          </w:p>
        </w:tc>
        <w:tc>
          <w:tcPr>
            <w:tcW w:w="945" w:type="dxa"/>
            <w:vAlign w:val="center"/>
          </w:tcPr>
          <w:p w14:paraId="0DED988C">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执行公司薪酬体系</w:t>
            </w:r>
          </w:p>
          <w:p w14:paraId="2194926B">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860" w:type="dxa"/>
            <w:tcMar>
              <w:top w:w="15" w:type="dxa"/>
              <w:left w:w="15" w:type="dxa"/>
              <w:right w:w="15" w:type="dxa"/>
            </w:tcMar>
            <w:vAlign w:val="center"/>
          </w:tcPr>
          <w:p w14:paraId="248451C5">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符合回避制度</w:t>
            </w:r>
          </w:p>
        </w:tc>
      </w:tr>
      <w:tr w14:paraId="4FBB1471">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jc w:val="center"/>
        </w:trPr>
        <w:tc>
          <w:tcPr>
            <w:tcW w:w="709" w:type="dxa"/>
            <w:tcMar>
              <w:top w:w="15" w:type="dxa"/>
              <w:left w:w="15" w:type="dxa"/>
              <w:right w:w="15" w:type="dxa"/>
            </w:tcMar>
            <w:vAlign w:val="center"/>
          </w:tcPr>
          <w:p w14:paraId="3CF12784">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cs="Times New Roman"/>
                <w:color w:val="000000" w:themeColor="text1"/>
                <w:kern w:val="0"/>
                <w:sz w:val="22"/>
                <w:highlight w:val="none"/>
                <w:lang w:val="en-US" w:eastAsia="zh-CN"/>
                <w14:textFill>
                  <w14:solidFill>
                    <w14:schemeClr w14:val="tx1"/>
                  </w14:solidFill>
                </w14:textFill>
              </w:rPr>
              <w:t>GT2025010</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9</w:t>
            </w:r>
          </w:p>
        </w:tc>
        <w:tc>
          <w:tcPr>
            <w:tcW w:w="983" w:type="dxa"/>
            <w:tcMar>
              <w:top w:w="15" w:type="dxa"/>
              <w:left w:w="15" w:type="dxa"/>
              <w:right w:w="15" w:type="dxa"/>
            </w:tcMar>
            <w:vAlign w:val="center"/>
          </w:tcPr>
          <w:p w14:paraId="6575F075">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广安广投大数据集团有限公司</w:t>
            </w:r>
          </w:p>
        </w:tc>
        <w:tc>
          <w:tcPr>
            <w:tcW w:w="795" w:type="dxa"/>
            <w:tcMar>
              <w:top w:w="15" w:type="dxa"/>
              <w:left w:w="15" w:type="dxa"/>
              <w:right w:w="15" w:type="dxa"/>
            </w:tcMar>
            <w:vAlign w:val="center"/>
          </w:tcPr>
          <w:p w14:paraId="78F63207">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云平台管理工程师</w:t>
            </w:r>
          </w:p>
        </w:tc>
        <w:tc>
          <w:tcPr>
            <w:tcW w:w="750" w:type="dxa"/>
            <w:tcMar>
              <w:top w:w="15" w:type="dxa"/>
              <w:left w:w="15" w:type="dxa"/>
              <w:right w:w="15" w:type="dxa"/>
            </w:tcMar>
            <w:vAlign w:val="center"/>
          </w:tcPr>
          <w:p w14:paraId="6DDB9425">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w:t>
            </w:r>
          </w:p>
        </w:tc>
        <w:tc>
          <w:tcPr>
            <w:tcW w:w="945" w:type="dxa"/>
            <w:tcMar>
              <w:top w:w="15" w:type="dxa"/>
              <w:left w:w="15" w:type="dxa"/>
              <w:right w:w="15" w:type="dxa"/>
            </w:tcMar>
            <w:vAlign w:val="center"/>
          </w:tcPr>
          <w:p w14:paraId="2BE8DFC5">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本科及以上</w:t>
            </w:r>
            <w:r>
              <w:rPr>
                <w:rFonts w:hint="eastAsia" w:cs="Times New Roman"/>
                <w:color w:val="000000" w:themeColor="text1"/>
                <w:kern w:val="0"/>
                <w:sz w:val="22"/>
                <w:highlight w:val="none"/>
                <w:lang w:eastAsia="zh-CN"/>
                <w14:textFill>
                  <w14:solidFill>
                    <w14:schemeClr w14:val="tx1"/>
                  </w14:solidFill>
                </w14:textFill>
              </w:rPr>
              <w:t>学历</w:t>
            </w:r>
          </w:p>
        </w:tc>
        <w:tc>
          <w:tcPr>
            <w:tcW w:w="915" w:type="dxa"/>
            <w:tcMar>
              <w:top w:w="15" w:type="dxa"/>
              <w:left w:w="15" w:type="dxa"/>
              <w:right w:w="15" w:type="dxa"/>
            </w:tcMar>
            <w:vAlign w:val="center"/>
          </w:tcPr>
          <w:p w14:paraId="3CF2B69A">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计算机科学与技术、网络工程、软件工程、信息与通信工程等相关专业</w:t>
            </w:r>
          </w:p>
        </w:tc>
        <w:tc>
          <w:tcPr>
            <w:tcW w:w="628" w:type="dxa"/>
            <w:tcMar>
              <w:top w:w="15" w:type="dxa"/>
              <w:left w:w="15" w:type="dxa"/>
              <w:right w:w="15" w:type="dxa"/>
            </w:tcMar>
            <w:vAlign w:val="center"/>
          </w:tcPr>
          <w:p w14:paraId="5223D336">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35</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周岁以下</w:t>
            </w:r>
          </w:p>
        </w:tc>
        <w:tc>
          <w:tcPr>
            <w:tcW w:w="4058" w:type="dxa"/>
            <w:tcMar>
              <w:top w:w="15" w:type="dxa"/>
              <w:left w:w="15" w:type="dxa"/>
              <w:right w:w="15" w:type="dxa"/>
            </w:tcMar>
            <w:vAlign w:val="center"/>
          </w:tcPr>
          <w:p w14:paraId="537E853D">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 5年以上云计算、数据机房运维相关工作经验，参与过信创云平台运维服务保障（提供相关证明材料）；具有人社或工信部运维中级以上与大数据相关资质证书，且取得证书2年以上；</w:t>
            </w:r>
          </w:p>
          <w:p w14:paraId="336920D3">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 熟悉云计算架构技术，熟悉KVM等虚拟化技术、Docker等容器技术，OpenStack、Kubemmetes等云平台技术；</w:t>
            </w:r>
          </w:p>
          <w:p w14:paraId="1D1C56C0">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3.熟悉Limux操作系统，热练掌Wireshark、tcpdump、cu等基础工具的使用，熟悉云平台攻击手段及防范措施，掌握TCP/IP网络、路由交换、容器等计算机理论知识，熟悉云管理业务；</w:t>
            </w:r>
          </w:p>
          <w:p w14:paraId="75501475">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4.熟悉云原生与分布式等技术，包括:分布式存储、高可用、微服务、数据库、消息队列、负载均衡、日志管理、监控告警Web服务、分布式协调、缓存系统等；</w:t>
            </w:r>
          </w:p>
          <w:p w14:paraId="5A6FE933">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5.熟悉使用shell或Python等脚本语言，掌握自动化部署与运维脚本开发，提高运维效率；</w:t>
            </w:r>
          </w:p>
          <w:p w14:paraId="604CD4F9">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6.熟悉自动化运维CICD流程，熟练掌握GitLab、Jenkins、Git、Ansible等技术的使用；</w:t>
            </w:r>
          </w:p>
          <w:p w14:paraId="3CB19AB9">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7.具备云平台规划与设计能力，可根据业务需求进行容量规划架构设计；</w:t>
            </w:r>
          </w:p>
          <w:p w14:paraId="18345846">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8.具备良好的团队协作与沟通能力，能有效分析和解决复杂问题；</w:t>
            </w:r>
          </w:p>
          <w:p w14:paraId="7325C1E6">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9.学习能力强，具备自我驱动力，能够持续掌握新技术、新知识，推动技术创新；</w:t>
            </w:r>
          </w:p>
          <w:p w14:paraId="1C119029">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10.具备较强的抗压能力，能够适应高强度工作节奏。</w:t>
            </w:r>
          </w:p>
        </w:tc>
        <w:tc>
          <w:tcPr>
            <w:tcW w:w="3788" w:type="dxa"/>
            <w:shd w:val="clear" w:color="auto" w:fill="auto"/>
            <w:vAlign w:val="center"/>
          </w:tcPr>
          <w:p w14:paraId="7308BD24">
            <w:pPr>
              <w:snapToGrid w:val="0"/>
              <w:spacing w:line="240" w:lineRule="exact"/>
              <w:contextualSpacing/>
              <w:jc w:val="both"/>
              <w:textAlignment w:val="center"/>
              <w:rPr>
                <w:rFonts w:hint="default" w:ascii="Times New Roman" w:hAnsi="Times New Roman" w:eastAsia="方正仿宋_GBK" w:cs="Times New Roman"/>
                <w:color w:val="000000" w:themeColor="text1"/>
                <w:kern w:val="0"/>
                <w:sz w:val="22"/>
                <w:highlight w:val="none"/>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1.管理云平台规划、设计、部署与运维，动态优化资源配置，保障平台稳定高效运行；</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完成</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服务器、存储、网络及防火墙配置，完成容器化环境与中间件部署；开发Shell/Python自动化脚本，实现资源快速交付与流程标准化；</w:t>
            </w:r>
          </w:p>
          <w:p w14:paraId="3170842D">
            <w:pPr>
              <w:snapToGrid w:val="0"/>
              <w:spacing w:line="240" w:lineRule="exact"/>
              <w:contextualSpacing/>
              <w:jc w:val="both"/>
              <w:textAlignment w:val="center"/>
              <w:rPr>
                <w:rFonts w:hint="default" w:ascii="Times New Roman" w:hAnsi="Times New Roman" w:eastAsia="方正仿宋_GBK" w:cs="Times New Roman"/>
                <w:color w:val="000000" w:themeColor="text1"/>
                <w:kern w:val="0"/>
                <w:sz w:val="22"/>
                <w:highlight w:val="none"/>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执行日常巡检、日志分析与服务监控，搭建监控体系并结合可视化预警；定期维护确保环境稳定；​</w:t>
            </w:r>
          </w:p>
          <w:p w14:paraId="4E04076A">
            <w:pPr>
              <w:snapToGrid w:val="0"/>
              <w:spacing w:line="240" w:lineRule="exact"/>
              <w:contextualSpacing/>
              <w:jc w:val="both"/>
              <w:textAlignment w:val="center"/>
              <w:rPr>
                <w:rFonts w:hint="default" w:ascii="Times New Roman" w:hAnsi="Times New Roman" w:eastAsia="方正仿宋_GBK" w:cs="Times New Roman"/>
                <w:color w:val="000000" w:themeColor="text1"/>
                <w:kern w:val="0"/>
                <w:sz w:val="22"/>
                <w:highlight w:val="none"/>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持续优化平台性能与资源利用率，制定升级计划；建立故障应急机制，快速解决技术故障；</w:t>
            </w:r>
          </w:p>
          <w:p w14:paraId="7E4B501A">
            <w:pPr>
              <w:snapToGrid w:val="0"/>
              <w:spacing w:line="240" w:lineRule="exact"/>
              <w:contextualSpacing/>
              <w:jc w:val="both"/>
              <w:textAlignment w:val="center"/>
              <w:rPr>
                <w:rFonts w:hint="default" w:ascii="Times New Roman" w:hAnsi="Times New Roman" w:eastAsia="方正仿宋_GBK" w:cs="Times New Roman"/>
                <w:color w:val="000000" w:themeColor="text1"/>
                <w:kern w:val="0"/>
                <w:sz w:val="22"/>
                <w:highlight w:val="none"/>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构建安全防护体系，实施访问控制、漏洞扫描等策略；规划容灾备份，保障数据与业务安全；</w:t>
            </w:r>
          </w:p>
          <w:p w14:paraId="7AF3D169">
            <w:pPr>
              <w:snapToGrid w:val="0"/>
              <w:spacing w:line="240" w:lineRule="exact"/>
              <w:contextualSpacing/>
              <w:jc w:val="both"/>
              <w:textAlignment w:val="center"/>
              <w:rPr>
                <w:rFonts w:hint="default" w:ascii="Times New Roman" w:hAnsi="Times New Roman" w:eastAsia="方正仿宋_GBK" w:cs="Times New Roman"/>
                <w:color w:val="000000" w:themeColor="text1"/>
                <w:kern w:val="0"/>
                <w:sz w:val="22"/>
                <w:highlight w:val="none"/>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5.</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跨团队协作提供技术支持，参与方案评审，保障项目在云环境顺利落地；</w:t>
            </w:r>
          </w:p>
          <w:p w14:paraId="3CB6BDC9">
            <w:pPr>
              <w:snapToGrid w:val="0"/>
              <w:spacing w:line="240" w:lineRule="exact"/>
              <w:contextualSpacing/>
              <w:jc w:val="both"/>
              <w:textAlignment w:val="center"/>
              <w:rPr>
                <w:rFonts w:hint="default" w:ascii="Times New Roman" w:hAnsi="Times New Roman" w:eastAsia="方正仿宋_GBK" w:cs="Times New Roman"/>
                <w:color w:val="000000" w:themeColor="text1"/>
                <w:kern w:val="0"/>
                <w:sz w:val="22"/>
                <w:highlight w:val="none"/>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6.</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分析资源使用，制定弹性伸缩等优化策略降本增效；创新流程提升运维效率；</w:t>
            </w:r>
          </w:p>
          <w:p w14:paraId="5853C80B">
            <w:pPr>
              <w:snapToGrid w:val="0"/>
              <w:spacing w:line="240" w:lineRule="exact"/>
              <w:contextualSpacing/>
              <w:jc w:val="both"/>
              <w:textAlignment w:val="center"/>
              <w:rPr>
                <w:rFonts w:hint="default" w:ascii="Times New Roman" w:hAnsi="Times New Roman" w:eastAsia="方正仿宋_GBK" w:cs="Times New Roman"/>
                <w:color w:val="000000" w:themeColor="text1"/>
                <w:kern w:val="2"/>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7.</w:t>
            </w:r>
            <w:r>
              <w:rPr>
                <w:rFonts w:hint="default" w:ascii="Times New Roman" w:hAnsi="Times New Roman" w:eastAsia="方正仿宋_GBK" w:cs="Times New Roman"/>
                <w:color w:val="000000" w:themeColor="text1"/>
                <w:sz w:val="22"/>
                <w:highlight w:val="none"/>
                <w14:textFill>
                  <w14:solidFill>
                    <w14:schemeClr w14:val="tx1"/>
                  </w14:solidFill>
                </w14:textFill>
              </w:rPr>
              <w:t>完成领导安排的其它工作任务。</w:t>
            </w:r>
          </w:p>
        </w:tc>
        <w:tc>
          <w:tcPr>
            <w:tcW w:w="945" w:type="dxa"/>
            <w:vAlign w:val="center"/>
          </w:tcPr>
          <w:p w14:paraId="6B690A75">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执行公司薪酬体系</w:t>
            </w:r>
          </w:p>
          <w:p w14:paraId="491DC638">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860" w:type="dxa"/>
            <w:tcMar>
              <w:top w:w="15" w:type="dxa"/>
              <w:left w:w="15" w:type="dxa"/>
              <w:right w:w="15" w:type="dxa"/>
            </w:tcMar>
            <w:vAlign w:val="center"/>
          </w:tcPr>
          <w:p w14:paraId="23874613">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符合回避制度</w:t>
            </w:r>
          </w:p>
        </w:tc>
      </w:tr>
      <w:tr w14:paraId="2AC1DCE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2" w:hRule="atLeast"/>
          <w:jc w:val="center"/>
        </w:trPr>
        <w:tc>
          <w:tcPr>
            <w:tcW w:w="709" w:type="dxa"/>
            <w:tcMar>
              <w:top w:w="15" w:type="dxa"/>
              <w:left w:w="15" w:type="dxa"/>
              <w:right w:w="15" w:type="dxa"/>
            </w:tcMar>
            <w:vAlign w:val="center"/>
          </w:tcPr>
          <w:p w14:paraId="4D84B0B8">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cs="Times New Roman"/>
                <w:color w:val="000000" w:themeColor="text1"/>
                <w:kern w:val="0"/>
                <w:sz w:val="22"/>
                <w:highlight w:val="none"/>
                <w:lang w:val="en-US" w:eastAsia="zh-CN"/>
                <w14:textFill>
                  <w14:solidFill>
                    <w14:schemeClr w14:val="tx1"/>
                  </w14:solidFill>
                </w14:textFill>
              </w:rPr>
              <w:t>GT202501</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10</w:t>
            </w:r>
          </w:p>
        </w:tc>
        <w:tc>
          <w:tcPr>
            <w:tcW w:w="983" w:type="dxa"/>
            <w:tcMar>
              <w:top w:w="15" w:type="dxa"/>
              <w:left w:w="15" w:type="dxa"/>
              <w:right w:w="15" w:type="dxa"/>
            </w:tcMar>
            <w:vAlign w:val="center"/>
          </w:tcPr>
          <w:p w14:paraId="66F4EC43">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广安广投大数据集团有限公司</w:t>
            </w:r>
          </w:p>
        </w:tc>
        <w:tc>
          <w:tcPr>
            <w:tcW w:w="795" w:type="dxa"/>
            <w:tcMar>
              <w:top w:w="15" w:type="dxa"/>
              <w:left w:w="15" w:type="dxa"/>
              <w:right w:w="15" w:type="dxa"/>
            </w:tcMar>
            <w:vAlign w:val="center"/>
          </w:tcPr>
          <w:p w14:paraId="2017AC0F">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售前工程师岗</w:t>
            </w:r>
          </w:p>
        </w:tc>
        <w:tc>
          <w:tcPr>
            <w:tcW w:w="750" w:type="dxa"/>
            <w:tcMar>
              <w:top w:w="15" w:type="dxa"/>
              <w:left w:w="15" w:type="dxa"/>
              <w:right w:w="15" w:type="dxa"/>
            </w:tcMar>
            <w:vAlign w:val="center"/>
          </w:tcPr>
          <w:p w14:paraId="5B7BD8E8">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w:t>
            </w:r>
          </w:p>
        </w:tc>
        <w:tc>
          <w:tcPr>
            <w:tcW w:w="945" w:type="dxa"/>
            <w:tcMar>
              <w:top w:w="15" w:type="dxa"/>
              <w:left w:w="15" w:type="dxa"/>
              <w:right w:w="15" w:type="dxa"/>
            </w:tcMar>
            <w:vAlign w:val="center"/>
          </w:tcPr>
          <w:p w14:paraId="45A7E88E">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本科及以上</w:t>
            </w:r>
            <w:r>
              <w:rPr>
                <w:rFonts w:hint="eastAsia" w:cs="Times New Roman"/>
                <w:color w:val="000000" w:themeColor="text1"/>
                <w:kern w:val="0"/>
                <w:sz w:val="22"/>
                <w:highlight w:val="none"/>
                <w:lang w:eastAsia="zh-CN"/>
                <w14:textFill>
                  <w14:solidFill>
                    <w14:schemeClr w14:val="tx1"/>
                  </w14:solidFill>
                </w14:textFill>
              </w:rPr>
              <w:t>学历</w:t>
            </w:r>
          </w:p>
        </w:tc>
        <w:tc>
          <w:tcPr>
            <w:tcW w:w="915" w:type="dxa"/>
            <w:tcMar>
              <w:top w:w="15" w:type="dxa"/>
              <w:left w:w="15" w:type="dxa"/>
              <w:right w:w="15" w:type="dxa"/>
            </w:tcMar>
            <w:vAlign w:val="center"/>
          </w:tcPr>
          <w:p w14:paraId="4766DC77">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计算机科学与技术、软件工程、电子信息、通信工程等相关专业</w:t>
            </w:r>
          </w:p>
        </w:tc>
        <w:tc>
          <w:tcPr>
            <w:tcW w:w="628" w:type="dxa"/>
            <w:tcMar>
              <w:top w:w="15" w:type="dxa"/>
              <w:left w:w="15" w:type="dxa"/>
              <w:right w:w="15" w:type="dxa"/>
            </w:tcMar>
            <w:vAlign w:val="center"/>
          </w:tcPr>
          <w:p w14:paraId="11654C1C">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40</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周岁以下</w:t>
            </w:r>
          </w:p>
        </w:tc>
        <w:tc>
          <w:tcPr>
            <w:tcW w:w="4058" w:type="dxa"/>
            <w:tcMar>
              <w:top w:w="15" w:type="dxa"/>
              <w:left w:w="15" w:type="dxa"/>
              <w:right w:w="15" w:type="dxa"/>
            </w:tcMar>
            <w:vAlign w:val="center"/>
          </w:tcPr>
          <w:p w14:paraId="646D505E">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1.具有计算机技术与软件专业技术资格（水平）考试中级及以上证书或软件专利证书；</w:t>
            </w:r>
          </w:p>
          <w:p w14:paraId="0564ADF1">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2.5年以上信息化行业售前或技术支持工作经验（提供相关证明材料），熟悉政府信息化项目的建设流程和需求特点；</w:t>
            </w:r>
          </w:p>
          <w:p w14:paraId="1718EE6B">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3.有智慧城市、政务云、大数据、物联网等相关领域项目经验（提供证明材料）；</w:t>
            </w:r>
          </w:p>
          <w:p w14:paraId="72944E86">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4.熟悉主流信息化技术（如云计算、大数据、网络通信、信息安全等），能够独立完成技术方案设计；</w:t>
            </w:r>
          </w:p>
          <w:p w14:paraId="5A831F4F">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5.具备较强的文档编写能力，能够清晰、准确地表达技术方案和业务逻辑；</w:t>
            </w:r>
          </w:p>
          <w:p w14:paraId="5033AAAA">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6.熟练使用Office、Visio等工具，具备良好的PPT制作和演示能力；</w:t>
            </w:r>
          </w:p>
          <w:p w14:paraId="60DC9933">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7.具备良好的沟通能力、团队协作能力和客户服务意识，能够与客户建立良好的信任关系；</w:t>
            </w:r>
          </w:p>
          <w:p w14:paraId="46B392F4">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8.逻辑思维清晰，具备较强的学习能力和创新意识，能够快速掌握新技术和新知识；</w:t>
            </w:r>
          </w:p>
          <w:p w14:paraId="7091A6EB">
            <w:pPr>
              <w:snapToGrid w:val="0"/>
              <w:spacing w:line="240" w:lineRule="exact"/>
              <w:ind w:firstLine="0" w:firstLineChars="0"/>
              <w:contextualSpacing/>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9.具备较强的抗压能力，能够适应高强度工作。</w:t>
            </w:r>
          </w:p>
        </w:tc>
        <w:tc>
          <w:tcPr>
            <w:tcW w:w="3788" w:type="dxa"/>
            <w:shd w:val="clear" w:color="auto" w:fill="auto"/>
            <w:vAlign w:val="center"/>
          </w:tcPr>
          <w:p w14:paraId="082D9617">
            <w:pPr>
              <w:snapToGrid w:val="0"/>
              <w:spacing w:line="240" w:lineRule="exact"/>
              <w:contextualSpacing/>
              <w:jc w:val="both"/>
              <w:textAlignment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‌1</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深入了解客户需求，结合行业趋势和技术发展，为客户提供定制化的技术解决方案</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p w14:paraId="77E81A66">
            <w:pPr>
              <w:snapToGrid w:val="0"/>
              <w:spacing w:line="240" w:lineRule="exact"/>
              <w:contextualSpacing/>
              <w:jc w:val="both"/>
              <w:textAlignment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‌2</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根据客户需求制定详细的技术方案，并通过演示和讲解，使客户对方案有充分的认识和信任</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p w14:paraId="35BA1F0D">
            <w:pPr>
              <w:snapToGrid w:val="0"/>
              <w:spacing w:line="240" w:lineRule="exact"/>
              <w:contextualSpacing/>
              <w:jc w:val="both"/>
              <w:textAlignment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‌3</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参与项目招投标工作，编写投标技术方案，确保方案在招投标过程中具有竞争力</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p w14:paraId="08A70FE8">
            <w:pPr>
              <w:snapToGrid w:val="0"/>
              <w:spacing w:line="240" w:lineRule="exact"/>
              <w:contextualSpacing/>
              <w:jc w:val="both"/>
              <w:textAlignment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‌4</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与客户保持良好沟通，建立长期稳定的合作关系，挖掘潜在项目机会</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p w14:paraId="14EF4C7E">
            <w:pPr>
              <w:snapToGrid w:val="0"/>
              <w:spacing w:line="240" w:lineRule="exact"/>
              <w:contextualSpacing/>
              <w:jc w:val="both"/>
              <w:textAlignment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‌5</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关注市场动态和竞争对手情况，及时调整售前策略，提高公司在市场上的竞争力</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p w14:paraId="38054CC2">
            <w:pPr>
              <w:snapToGrid w:val="0"/>
              <w:spacing w:line="240" w:lineRule="exact"/>
              <w:contextualSpacing/>
              <w:jc w:val="both"/>
              <w:textAlignment w:val="center"/>
              <w:rPr>
                <w:rFonts w:hint="default" w:ascii="Times New Roman" w:hAnsi="Times New Roman" w:eastAsia="方正仿宋_GBK" w:cs="Times New Roman"/>
                <w:color w:val="000000" w:themeColor="text1"/>
                <w:kern w:val="2"/>
                <w:sz w:val="22"/>
                <w:szCs w:val="22"/>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6</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完成领导安排的其它工作任务。</w:t>
            </w:r>
          </w:p>
        </w:tc>
        <w:tc>
          <w:tcPr>
            <w:tcW w:w="945" w:type="dxa"/>
            <w:vAlign w:val="center"/>
          </w:tcPr>
          <w:p w14:paraId="53BE6540">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执行公司薪酬体系</w:t>
            </w:r>
          </w:p>
          <w:p w14:paraId="298EB328">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860" w:type="dxa"/>
            <w:tcMar>
              <w:top w:w="15" w:type="dxa"/>
              <w:left w:w="15" w:type="dxa"/>
              <w:right w:w="15" w:type="dxa"/>
            </w:tcMar>
            <w:vAlign w:val="center"/>
          </w:tcPr>
          <w:p w14:paraId="6345F2C8">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符合回避制度</w:t>
            </w:r>
          </w:p>
        </w:tc>
      </w:tr>
      <w:tr w14:paraId="51A15F3A">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09" w:type="dxa"/>
            <w:tcMar>
              <w:top w:w="15" w:type="dxa"/>
              <w:left w:w="15" w:type="dxa"/>
              <w:right w:w="15" w:type="dxa"/>
            </w:tcMar>
            <w:vAlign w:val="center"/>
          </w:tcPr>
          <w:p w14:paraId="1319A780">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cs="Times New Roman"/>
                <w:color w:val="000000" w:themeColor="text1"/>
                <w:kern w:val="0"/>
                <w:sz w:val="22"/>
                <w:highlight w:val="none"/>
                <w:lang w:val="en-US" w:eastAsia="zh-CN"/>
                <w14:textFill>
                  <w14:solidFill>
                    <w14:schemeClr w14:val="tx1"/>
                  </w14:solidFill>
                </w14:textFill>
              </w:rPr>
              <w:t>GT20250111</w:t>
            </w:r>
          </w:p>
        </w:tc>
        <w:tc>
          <w:tcPr>
            <w:tcW w:w="983" w:type="dxa"/>
            <w:vMerge w:val="restart"/>
            <w:tcMar>
              <w:top w:w="15" w:type="dxa"/>
              <w:left w:w="15" w:type="dxa"/>
              <w:right w:w="15" w:type="dxa"/>
            </w:tcMar>
            <w:vAlign w:val="center"/>
          </w:tcPr>
          <w:p w14:paraId="71EEDABA">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广安广投大数据集团有限公司</w:t>
            </w:r>
          </w:p>
        </w:tc>
        <w:tc>
          <w:tcPr>
            <w:tcW w:w="795" w:type="dxa"/>
            <w:tcMar>
              <w:top w:w="15" w:type="dxa"/>
              <w:left w:w="15" w:type="dxa"/>
              <w:right w:w="15" w:type="dxa"/>
            </w:tcMar>
            <w:vAlign w:val="center"/>
          </w:tcPr>
          <w:p w14:paraId="099CE846">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数据运营工程师</w:t>
            </w:r>
          </w:p>
        </w:tc>
        <w:tc>
          <w:tcPr>
            <w:tcW w:w="750" w:type="dxa"/>
            <w:tcMar>
              <w:top w:w="15" w:type="dxa"/>
              <w:left w:w="15" w:type="dxa"/>
              <w:right w:w="15" w:type="dxa"/>
            </w:tcMar>
            <w:vAlign w:val="center"/>
          </w:tcPr>
          <w:p w14:paraId="18CD56A9">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w:t>
            </w:r>
          </w:p>
        </w:tc>
        <w:tc>
          <w:tcPr>
            <w:tcW w:w="945" w:type="dxa"/>
            <w:tcMar>
              <w:top w:w="15" w:type="dxa"/>
              <w:left w:w="15" w:type="dxa"/>
              <w:right w:w="15" w:type="dxa"/>
            </w:tcMar>
            <w:vAlign w:val="center"/>
          </w:tcPr>
          <w:p w14:paraId="17FBA9AD">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本科及以上</w:t>
            </w:r>
            <w:r>
              <w:rPr>
                <w:rFonts w:hint="eastAsia" w:cs="Times New Roman"/>
                <w:color w:val="000000" w:themeColor="text1"/>
                <w:kern w:val="0"/>
                <w:sz w:val="22"/>
                <w:highlight w:val="none"/>
                <w:lang w:eastAsia="zh-CN"/>
                <w14:textFill>
                  <w14:solidFill>
                    <w14:schemeClr w14:val="tx1"/>
                  </w14:solidFill>
                </w14:textFill>
              </w:rPr>
              <w:t>学历</w:t>
            </w:r>
          </w:p>
        </w:tc>
        <w:tc>
          <w:tcPr>
            <w:tcW w:w="915" w:type="dxa"/>
            <w:tcMar>
              <w:top w:w="15" w:type="dxa"/>
              <w:left w:w="15" w:type="dxa"/>
              <w:right w:w="15" w:type="dxa"/>
            </w:tcMar>
            <w:vAlign w:val="center"/>
          </w:tcPr>
          <w:p w14:paraId="6FF32E82">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计算机、数据科学、统计学、信息管理等相关专业</w:t>
            </w:r>
          </w:p>
        </w:tc>
        <w:tc>
          <w:tcPr>
            <w:tcW w:w="628" w:type="dxa"/>
            <w:tcMar>
              <w:top w:w="15" w:type="dxa"/>
              <w:left w:w="15" w:type="dxa"/>
              <w:right w:w="15" w:type="dxa"/>
            </w:tcMar>
            <w:vAlign w:val="center"/>
          </w:tcPr>
          <w:p w14:paraId="4375D7BD">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35</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周岁以下</w:t>
            </w:r>
          </w:p>
        </w:tc>
        <w:tc>
          <w:tcPr>
            <w:tcW w:w="4058" w:type="dxa"/>
            <w:tcMar>
              <w:top w:w="15" w:type="dxa"/>
              <w:left w:w="15" w:type="dxa"/>
              <w:right w:w="15" w:type="dxa"/>
            </w:tcMar>
            <w:vAlign w:val="center"/>
          </w:tcPr>
          <w:p w14:paraId="0F1698F1">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1.具有计算机技术与软件专业技术资格（水平）考试中级及以上证书；</w:t>
            </w:r>
          </w:p>
          <w:p w14:paraId="1F184BED">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2.5年以上信息化行业售前或技术支持工作经验（提供相关证明材料），熟悉政府信息化项目的建设流程和需求特点；</w:t>
            </w:r>
          </w:p>
          <w:p w14:paraId="023C8D38">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3.有智慧城市、政务云、大数据、物联网等相关领域项目经验（提供证明材料）；</w:t>
            </w:r>
          </w:p>
          <w:p w14:paraId="7B1B897E">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4.熟悉主流信息化技术（如云计算、大数据、网络通信、信息安全等），能够独立完成技术方案设计；</w:t>
            </w:r>
          </w:p>
          <w:p w14:paraId="7C4C5555">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5.具备较强的文档编写能力，能够清晰、准确地表达技术方案和业务逻辑；</w:t>
            </w:r>
          </w:p>
          <w:p w14:paraId="6A383887">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6.熟练使用Office、Visio等工具，具备良好的PPT制作和演示能力；</w:t>
            </w:r>
          </w:p>
          <w:p w14:paraId="51319272">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7.具备良好的沟通能力、团队协作能力和客户服务意识，能够与客户建立良好的信任关系；</w:t>
            </w:r>
          </w:p>
          <w:p w14:paraId="1041DB3B">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8.逻辑思维清晰，具备较强的学习能力和创新意识，能够快速掌握新技术和新知识；</w:t>
            </w:r>
          </w:p>
          <w:p w14:paraId="5F732919">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9.具备较强的抗压能力，能够适应高强度工作节奏。</w:t>
            </w:r>
          </w:p>
        </w:tc>
        <w:tc>
          <w:tcPr>
            <w:tcW w:w="3788" w:type="dxa"/>
            <w:shd w:val="clear" w:color="auto" w:fill="auto"/>
            <w:vAlign w:val="center"/>
          </w:tcPr>
          <w:p w14:paraId="3A462A22">
            <w:pPr>
              <w:snapToGrid w:val="0"/>
              <w:spacing w:line="240" w:lineRule="exact"/>
              <w:contextualSpacing/>
              <w:jc w:val="both"/>
              <w:textAlignment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1</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负责大数据项目的日常运营和维护工作，确保项目数据准确、及时、安全地处理和分析</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p w14:paraId="7C262375">
            <w:pPr>
              <w:snapToGrid w:val="0"/>
              <w:spacing w:line="240" w:lineRule="exact"/>
              <w:contextualSpacing/>
              <w:jc w:val="both"/>
              <w:textAlignment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‌2</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利用大数据技术和工具，对数据进行深度分析和可视化展示，为业务决策提供有力支持</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p w14:paraId="43DD4E1A">
            <w:pPr>
              <w:snapToGrid w:val="0"/>
              <w:spacing w:line="240" w:lineRule="exact"/>
              <w:contextualSpacing/>
              <w:jc w:val="both"/>
              <w:textAlignment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‌3</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参与大数据平台的建设和优化工作，提高平台性能和数据处理能力</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p w14:paraId="03861217">
            <w:pPr>
              <w:snapToGrid w:val="0"/>
              <w:spacing w:line="240" w:lineRule="exact"/>
              <w:contextualSpacing/>
              <w:jc w:val="both"/>
              <w:textAlignment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‌4</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团队协作与项目管理‌：与团队成员紧密合作，共同推动大数据项目的落地和实施</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参与项目管理，确保项目按时按质完成</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p w14:paraId="267C405F">
            <w:pPr>
              <w:snapToGrid w:val="0"/>
              <w:spacing w:line="240" w:lineRule="exact"/>
              <w:contextualSpacing/>
              <w:jc w:val="both"/>
              <w:textAlignment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‌5</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持续学习新技术和新知识，将其应用于大数据项目中，提高项目的技术水平和竞争力</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p w14:paraId="544BB862">
            <w:pPr>
              <w:snapToGrid w:val="0"/>
              <w:spacing w:line="240" w:lineRule="exact"/>
              <w:contextualSpacing/>
              <w:jc w:val="both"/>
              <w:textAlignment w:val="center"/>
              <w:rPr>
                <w:rFonts w:hint="default" w:ascii="Times New Roman" w:hAnsi="Times New Roman" w:eastAsia="方正仿宋_GBK" w:cs="Times New Roman"/>
                <w:color w:val="000000" w:themeColor="text1"/>
                <w:kern w:val="2"/>
                <w:sz w:val="22"/>
                <w:szCs w:val="22"/>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6</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2"/>
                <w:highlight w:val="none"/>
                <w14:textFill>
                  <w14:solidFill>
                    <w14:schemeClr w14:val="tx1"/>
                  </w14:solidFill>
                </w14:textFill>
              </w:rPr>
              <w:t>完成领导安排的其它工作任务。</w:t>
            </w:r>
          </w:p>
        </w:tc>
        <w:tc>
          <w:tcPr>
            <w:tcW w:w="945" w:type="dxa"/>
            <w:vMerge w:val="restart"/>
            <w:vAlign w:val="center"/>
          </w:tcPr>
          <w:p w14:paraId="1B1BE976">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执行公司薪酬体系</w:t>
            </w:r>
          </w:p>
          <w:p w14:paraId="3656A625">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860" w:type="dxa"/>
            <w:vMerge w:val="restart"/>
            <w:tcMar>
              <w:top w:w="15" w:type="dxa"/>
              <w:left w:w="15" w:type="dxa"/>
              <w:right w:w="15" w:type="dxa"/>
            </w:tcMar>
            <w:vAlign w:val="center"/>
          </w:tcPr>
          <w:p w14:paraId="65661098">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符合回避制度</w:t>
            </w:r>
          </w:p>
        </w:tc>
      </w:tr>
      <w:tr w14:paraId="379FE39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709" w:type="dxa"/>
            <w:tcMar>
              <w:top w:w="15" w:type="dxa"/>
              <w:left w:w="15" w:type="dxa"/>
              <w:right w:w="15" w:type="dxa"/>
            </w:tcMar>
            <w:vAlign w:val="center"/>
          </w:tcPr>
          <w:p w14:paraId="61578C61">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cs="Times New Roman"/>
                <w:color w:val="000000" w:themeColor="text1"/>
                <w:kern w:val="0"/>
                <w:sz w:val="22"/>
                <w:highlight w:val="none"/>
                <w:lang w:val="en-US" w:eastAsia="zh-CN"/>
                <w14:textFill>
                  <w14:solidFill>
                    <w14:schemeClr w14:val="tx1"/>
                  </w14:solidFill>
                </w14:textFill>
              </w:rPr>
              <w:t>GT202501</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12</w:t>
            </w:r>
          </w:p>
        </w:tc>
        <w:tc>
          <w:tcPr>
            <w:tcW w:w="983" w:type="dxa"/>
            <w:vMerge w:val="continue"/>
            <w:tcMar>
              <w:top w:w="15" w:type="dxa"/>
              <w:left w:w="15" w:type="dxa"/>
              <w:right w:w="15" w:type="dxa"/>
            </w:tcMar>
            <w:vAlign w:val="center"/>
          </w:tcPr>
          <w:p w14:paraId="6B877E90">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795" w:type="dxa"/>
            <w:tcMar>
              <w:top w:w="15" w:type="dxa"/>
              <w:left w:w="15" w:type="dxa"/>
              <w:right w:w="15" w:type="dxa"/>
            </w:tcMar>
            <w:vAlign w:val="center"/>
          </w:tcPr>
          <w:p w14:paraId="00FB1C4A">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云平台Linux 运维工程师岗</w:t>
            </w:r>
          </w:p>
        </w:tc>
        <w:tc>
          <w:tcPr>
            <w:tcW w:w="750" w:type="dxa"/>
            <w:shd w:val="clear" w:color="auto" w:fill="auto"/>
            <w:tcMar>
              <w:top w:w="15" w:type="dxa"/>
              <w:left w:w="15" w:type="dxa"/>
              <w:right w:w="15" w:type="dxa"/>
            </w:tcMar>
            <w:vAlign w:val="center"/>
          </w:tcPr>
          <w:p w14:paraId="7B5E4A30">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w:t>
            </w:r>
          </w:p>
        </w:tc>
        <w:tc>
          <w:tcPr>
            <w:tcW w:w="945" w:type="dxa"/>
            <w:shd w:val="clear" w:color="auto" w:fill="auto"/>
            <w:tcMar>
              <w:top w:w="15" w:type="dxa"/>
              <w:left w:w="15" w:type="dxa"/>
              <w:right w:w="15" w:type="dxa"/>
            </w:tcMar>
            <w:vAlign w:val="center"/>
          </w:tcPr>
          <w:p w14:paraId="7F7E32C1">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szCs w:val="22"/>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本科及以上</w:t>
            </w:r>
            <w:r>
              <w:rPr>
                <w:rFonts w:hint="eastAsia" w:cs="Times New Roman"/>
                <w:color w:val="000000" w:themeColor="text1"/>
                <w:kern w:val="0"/>
                <w:sz w:val="22"/>
                <w:highlight w:val="none"/>
                <w:lang w:eastAsia="zh-CN"/>
                <w14:textFill>
                  <w14:solidFill>
                    <w14:schemeClr w14:val="tx1"/>
                  </w14:solidFill>
                </w14:textFill>
              </w:rPr>
              <w:t>学历</w:t>
            </w:r>
          </w:p>
        </w:tc>
        <w:tc>
          <w:tcPr>
            <w:tcW w:w="915" w:type="dxa"/>
            <w:tcMar>
              <w:top w:w="15" w:type="dxa"/>
              <w:left w:w="15" w:type="dxa"/>
              <w:right w:w="15" w:type="dxa"/>
            </w:tcMar>
            <w:vAlign w:val="center"/>
          </w:tcPr>
          <w:p w14:paraId="553F4AA4">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计算机科学与技术、网络工程、软件工程、信息与通信工程、经济学等相关专业</w:t>
            </w:r>
          </w:p>
        </w:tc>
        <w:tc>
          <w:tcPr>
            <w:tcW w:w="628" w:type="dxa"/>
            <w:tcMar>
              <w:top w:w="15" w:type="dxa"/>
              <w:left w:w="15" w:type="dxa"/>
              <w:right w:w="15" w:type="dxa"/>
            </w:tcMar>
            <w:vAlign w:val="center"/>
          </w:tcPr>
          <w:p w14:paraId="524945A5">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35</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周岁以下</w:t>
            </w:r>
          </w:p>
        </w:tc>
        <w:tc>
          <w:tcPr>
            <w:tcW w:w="4058" w:type="dxa"/>
            <w:tcMar>
              <w:top w:w="15" w:type="dxa"/>
              <w:left w:w="15" w:type="dxa"/>
              <w:right w:w="15" w:type="dxa"/>
            </w:tcMar>
            <w:vAlign w:val="center"/>
          </w:tcPr>
          <w:p w14:paraId="5D05A924">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1.5年以上云计算相关工作经验，参与过信创云平台项目建设（提供相关证明材料）；具有云认证运维工程师等云平台大数据相关资质证书；</w:t>
            </w:r>
          </w:p>
          <w:p w14:paraId="1988C4E0">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 xml:space="preserve">2.熟悉云计算架构及核心技术，熟悉KVM等虚拟化技术、Docker等容器技术，OpenStack、Kubernetes等云平台技术；                                                       </w:t>
            </w:r>
          </w:p>
          <w:p w14:paraId="30D7432A">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3.熟悉Linux操作系统，网络故障处理，熟练掌Wireshark、tcpdump、curl等基础工具的使用，熟悉云平台攻击手段及防范措施，确保平台安全性，掌握TCP/IP网络、路由交换、容器等计算机理论知识，熟悉云管理业务；</w:t>
            </w:r>
          </w:p>
          <w:p w14:paraId="0273A505">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4.熟悉云原生与分布式等技术，包括:分布式存储、高可用、微服务、数据库、消息队列、负载均衡、日志管理、监控告警、Web服务、分布式协调、缓存系统等；</w:t>
            </w:r>
          </w:p>
          <w:p w14:paraId="30DF5507">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5.熟悉使用shell或Python等脚本语言，掌握自动化部署与运维脚本开发，提高运维效率；</w:t>
            </w:r>
          </w:p>
          <w:p w14:paraId="6773CC8F">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6.熟悉自动化运维CI/CD流程，熟练掌握GitLab、Jenkins、Git、Ansible等技术的使用；</w:t>
            </w:r>
          </w:p>
          <w:p w14:paraId="0F80047D">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7.具备云平台规划与设计能力，可根据业务需求进行容量规划、架构设计和优化；</w:t>
            </w:r>
          </w:p>
          <w:p w14:paraId="5B7E8B54">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8.具备良好的团队协作与沟通能力，能有效分析和解决复杂问题；</w:t>
            </w:r>
          </w:p>
          <w:p w14:paraId="31052577">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9.学习能力强，具备自我驱动力，能够持续掌握新技术、新知识，推动技术创新；</w:t>
            </w:r>
          </w:p>
          <w:p w14:paraId="2FECA11E">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10.具备较强的抗压能力，能够适应高强度工作节奏。</w:t>
            </w:r>
          </w:p>
        </w:tc>
        <w:tc>
          <w:tcPr>
            <w:tcW w:w="3788" w:type="dxa"/>
            <w:shd w:val="clear" w:color="auto" w:fill="auto"/>
            <w:vAlign w:val="center"/>
          </w:tcPr>
          <w:p w14:paraId="5308D2A8">
            <w:pPr>
              <w:snapToGrid w:val="0"/>
              <w:spacing w:line="240" w:lineRule="exact"/>
              <w:contextualSpacing/>
              <w:jc w:val="both"/>
              <w:textAlignment w:val="center"/>
              <w:rPr>
                <w:rFonts w:hint="default" w:ascii="Times New Roman" w:hAnsi="Times New Roman" w:eastAsia="方正仿宋_GBK" w:cs="Times New Roman"/>
                <w:color w:val="000000" w:themeColor="text1"/>
                <w:kern w:val="0"/>
                <w:sz w:val="22"/>
                <w:highlight w:val="none"/>
                <w14:textFill>
                  <w14:solidFill>
                    <w14:schemeClr w14:val="tx1"/>
                  </w14:solidFill>
                </w14:textFill>
              </w:rPr>
            </w:pPr>
            <w:r>
              <w:rPr>
                <w:rFonts w:hint="default" w:ascii="Times New Roman" w:hAnsi="Times New Roman" w:eastAsia="方正仿宋_GBK" w:cs="Times New Roman"/>
                <w:b w:val="0"/>
                <w:bCs w:val="0"/>
                <w:i w:val="0"/>
                <w:iCs w:val="0"/>
                <w:caps w:val="0"/>
                <w:smallCaps w:val="0"/>
                <w:vanish w:val="0"/>
                <w:color w:val="000000" w:themeColor="text1"/>
                <w:spacing w:val="0"/>
                <w:sz w:val="22"/>
                <w:szCs w:val="22"/>
                <w:highlight w:val="none"/>
                <w14:textFill>
                  <w14:solidFill>
                    <w14:schemeClr w14:val="tx1"/>
                  </w14:solidFill>
                </w14:textFill>
              </w:rPr>
              <w:t>1</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.负责云平台规划、部署及运维流程管理，保障资源高效配置与合理利用；</w:t>
            </w:r>
          </w:p>
          <w:p w14:paraId="2E3619F8">
            <w:pPr>
              <w:snapToGrid w:val="0"/>
              <w:spacing w:line="240" w:lineRule="exact"/>
              <w:contextualSpacing/>
              <w:jc w:val="both"/>
              <w:textAlignment w:val="center"/>
              <w:rPr>
                <w:rFonts w:hint="default" w:ascii="Times New Roman" w:hAnsi="Times New Roman" w:eastAsia="方正仿宋_GBK" w:cs="Times New Roman"/>
                <w:color w:val="000000" w:themeColor="text1"/>
                <w:kern w:val="0"/>
                <w:sz w:val="22"/>
                <w:highlight w:val="none"/>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2.设计云平台架构，完成服务器、网络及存储等基础设施搭建与部署；</w:t>
            </w:r>
          </w:p>
          <w:p w14:paraId="703233B9">
            <w:pPr>
              <w:snapToGrid w:val="0"/>
              <w:spacing w:line="240" w:lineRule="exact"/>
              <w:contextualSpacing/>
              <w:jc w:val="both"/>
              <w:textAlignment w:val="center"/>
              <w:rPr>
                <w:rFonts w:hint="default" w:ascii="Times New Roman" w:hAnsi="Times New Roman" w:eastAsia="方正仿宋_GBK" w:cs="Times New Roman"/>
                <w:color w:val="000000" w:themeColor="text1"/>
                <w:kern w:val="0"/>
                <w:sz w:val="22"/>
                <w:highlight w:val="none"/>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3.执行系统日常运维</w:t>
            </w:r>
            <w:r>
              <w:rPr>
                <w:rFonts w:hint="eastAsia" w:ascii="Times New Roman" w:hAnsi="Times New Roman" w:eastAsia="方正仿宋_GBK" w:cs="Times New Roman"/>
                <w:color w:val="000000" w:themeColor="text1"/>
                <w:kern w:val="0"/>
                <w:sz w:val="22"/>
                <w:highlight w:val="none"/>
                <w:lang w:eastAsia="zh-CN"/>
                <w14:textFill>
                  <w14:solidFill>
                    <w14:schemeClr w14:val="tx1"/>
                  </w14:solidFill>
                </w14:textFill>
              </w:rPr>
              <w:t>，</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搭建监控体系，实时掌握系统状态；</w:t>
            </w:r>
          </w:p>
          <w:p w14:paraId="1262A7BC">
            <w:pPr>
              <w:snapToGrid w:val="0"/>
              <w:spacing w:line="240" w:lineRule="exact"/>
              <w:contextualSpacing/>
              <w:jc w:val="both"/>
              <w:textAlignment w:val="center"/>
              <w:rPr>
                <w:rFonts w:hint="default" w:ascii="Times New Roman" w:hAnsi="Times New Roman" w:eastAsia="方正仿宋_GBK" w:cs="Times New Roman"/>
                <w:color w:val="000000" w:themeColor="text1"/>
                <w:kern w:val="0"/>
                <w:sz w:val="22"/>
                <w:highlight w:val="none"/>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构建安全防护体系，实施访问控制、漏洞扫描、数据加密等策略；规划容灾方案并演练，保障业务连续性；</w:t>
            </w:r>
          </w:p>
          <w:p w14:paraId="177918B2">
            <w:pPr>
              <w:snapToGrid w:val="0"/>
              <w:spacing w:line="240" w:lineRule="exact"/>
              <w:contextualSpacing/>
              <w:jc w:val="both"/>
              <w:textAlignment w:val="center"/>
              <w:rPr>
                <w:rFonts w:hint="default" w:ascii="Times New Roman" w:hAnsi="Times New Roman" w:eastAsia="方正仿宋_GBK" w:cs="Times New Roman"/>
                <w:color w:val="000000" w:themeColor="text1"/>
                <w:kern w:val="0"/>
                <w:sz w:val="22"/>
                <w:highlight w:val="none"/>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5.</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与开发、测试等团队协作，提供技术支持与解决方案；参与技术评审保障项目实施；</w:t>
            </w:r>
          </w:p>
          <w:p w14:paraId="761F2821">
            <w:pPr>
              <w:snapToGrid w:val="0"/>
              <w:spacing w:line="240" w:lineRule="exact"/>
              <w:contextualSpacing/>
              <w:jc w:val="both"/>
              <w:textAlignment w:val="center"/>
              <w:rPr>
                <w:rFonts w:hint="default" w:ascii="Times New Roman" w:hAnsi="Times New Roman" w:eastAsia="方正仿宋_GBK" w:cs="Times New Roman"/>
                <w:color w:val="000000" w:themeColor="text1"/>
                <w:kern w:val="0"/>
                <w:sz w:val="22"/>
                <w:highlight w:val="none"/>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6.</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分析云资源使用情况，制定优化策略降低运维成本</w:t>
            </w:r>
            <w:r>
              <w:rPr>
                <w:rFonts w:hint="eastAsia" w:ascii="Times New Roman" w:hAnsi="Times New Roman" w:eastAsia="方正仿宋_GBK" w:cs="Times New Roman"/>
                <w:color w:val="000000" w:themeColor="text1"/>
                <w:kern w:val="0"/>
                <w:sz w:val="22"/>
                <w:highlight w:val="none"/>
                <w:lang w:eastAsia="zh-CN"/>
                <w14:textFill>
                  <w14:solidFill>
                    <w14:schemeClr w14:val="tx1"/>
                  </w14:solidFill>
                </w14:textFill>
              </w:rPr>
              <w:t>，</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提升效率；</w:t>
            </w:r>
          </w:p>
          <w:p w14:paraId="7D2A219C">
            <w:pPr>
              <w:snapToGrid w:val="0"/>
              <w:spacing w:line="240" w:lineRule="exact"/>
              <w:contextualSpacing/>
              <w:jc w:val="both"/>
              <w:textAlignment w:val="center"/>
              <w:rPr>
                <w:rFonts w:hint="default" w:ascii="Times New Roman" w:hAnsi="Times New Roman" w:eastAsia="方正仿宋_GBK" w:cs="Times New Roman"/>
                <w:color w:val="000000" w:themeColor="text1"/>
                <w:kern w:val="0"/>
                <w:sz w:val="22"/>
                <w:highlight w:val="none"/>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7.</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协调资源推进云平台项目落地，制定计划监控进度确保按时交付；</w:t>
            </w:r>
          </w:p>
          <w:p w14:paraId="221D6B16">
            <w:pPr>
              <w:snapToGrid w:val="0"/>
              <w:spacing w:line="240" w:lineRule="exact"/>
              <w:contextualSpacing/>
              <w:jc w:val="both"/>
              <w:textAlignment w:val="center"/>
              <w:rPr>
                <w:rFonts w:hint="default" w:ascii="Times New Roman" w:hAnsi="Times New Roman" w:eastAsia="方正仿宋_GBK" w:cs="Times New Roman"/>
                <w:color w:val="000000" w:themeColor="text1"/>
                <w:kern w:val="2"/>
                <w:sz w:val="22"/>
                <w:szCs w:val="22"/>
                <w:highlight w:val="no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8.</w:t>
            </w:r>
            <w:r>
              <w:rPr>
                <w:rFonts w:hint="default" w:ascii="Times New Roman" w:hAnsi="Times New Roman" w:eastAsia="方正仿宋_GBK" w:cs="Times New Roman"/>
                <w:color w:val="000000" w:themeColor="text1"/>
                <w:sz w:val="22"/>
                <w:highlight w:val="none"/>
                <w14:textFill>
                  <w14:solidFill>
                    <w14:schemeClr w14:val="tx1"/>
                  </w14:solidFill>
                </w14:textFill>
              </w:rPr>
              <w:t>完成领导安排的其它工作任务。</w:t>
            </w:r>
          </w:p>
        </w:tc>
        <w:tc>
          <w:tcPr>
            <w:tcW w:w="945" w:type="dxa"/>
            <w:vMerge w:val="continue"/>
            <w:vAlign w:val="center"/>
          </w:tcPr>
          <w:p w14:paraId="1B22AF98">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860" w:type="dxa"/>
            <w:vMerge w:val="continue"/>
            <w:tcMar>
              <w:top w:w="15" w:type="dxa"/>
              <w:left w:w="15" w:type="dxa"/>
              <w:right w:w="15" w:type="dxa"/>
            </w:tcMar>
            <w:vAlign w:val="center"/>
          </w:tcPr>
          <w:p w14:paraId="163FD461">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p>
        </w:tc>
      </w:tr>
      <w:tr w14:paraId="7E4ED7BD">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4" w:hRule="atLeast"/>
          <w:jc w:val="center"/>
        </w:trPr>
        <w:tc>
          <w:tcPr>
            <w:tcW w:w="709" w:type="dxa"/>
            <w:tcMar>
              <w:top w:w="15" w:type="dxa"/>
              <w:left w:w="15" w:type="dxa"/>
              <w:right w:w="15" w:type="dxa"/>
            </w:tcMar>
            <w:vAlign w:val="center"/>
          </w:tcPr>
          <w:p w14:paraId="488DA4C3">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cs="Times New Roman"/>
                <w:color w:val="000000" w:themeColor="text1"/>
                <w:kern w:val="0"/>
                <w:sz w:val="22"/>
                <w:highlight w:val="none"/>
                <w:lang w:val="en-US" w:eastAsia="zh-CN"/>
                <w14:textFill>
                  <w14:solidFill>
                    <w14:schemeClr w14:val="tx1"/>
                  </w14:solidFill>
                </w14:textFill>
              </w:rPr>
              <w:t>GT202501</w:t>
            </w: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13</w:t>
            </w:r>
          </w:p>
        </w:tc>
        <w:tc>
          <w:tcPr>
            <w:tcW w:w="983" w:type="dxa"/>
            <w:tcMar>
              <w:top w:w="15" w:type="dxa"/>
              <w:left w:w="15" w:type="dxa"/>
              <w:right w:w="15" w:type="dxa"/>
            </w:tcMar>
            <w:vAlign w:val="center"/>
          </w:tcPr>
          <w:p w14:paraId="6A0B6E63">
            <w:pPr>
              <w:widowControl w:val="0"/>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成都安蓉生物医药科技产业园开发有限公司</w:t>
            </w:r>
          </w:p>
        </w:tc>
        <w:tc>
          <w:tcPr>
            <w:tcW w:w="795" w:type="dxa"/>
            <w:tcMar>
              <w:top w:w="15" w:type="dxa"/>
              <w:left w:w="15" w:type="dxa"/>
              <w:right w:w="15" w:type="dxa"/>
            </w:tcMar>
            <w:vAlign w:val="center"/>
          </w:tcPr>
          <w:p w14:paraId="3AF6C37B">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综合管理岗</w:t>
            </w:r>
          </w:p>
        </w:tc>
        <w:tc>
          <w:tcPr>
            <w:tcW w:w="750" w:type="dxa"/>
            <w:shd w:val="clear" w:color="auto" w:fill="auto"/>
            <w:tcMar>
              <w:top w:w="15" w:type="dxa"/>
              <w:left w:w="15" w:type="dxa"/>
              <w:right w:w="15" w:type="dxa"/>
            </w:tcMar>
            <w:vAlign w:val="center"/>
          </w:tcPr>
          <w:p w14:paraId="74B0A28F">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w:t>
            </w:r>
          </w:p>
        </w:tc>
        <w:tc>
          <w:tcPr>
            <w:tcW w:w="945" w:type="dxa"/>
            <w:shd w:val="clear" w:color="auto" w:fill="auto"/>
            <w:tcMar>
              <w:top w:w="15" w:type="dxa"/>
              <w:left w:w="15" w:type="dxa"/>
              <w:right w:w="15" w:type="dxa"/>
            </w:tcMar>
            <w:vAlign w:val="center"/>
          </w:tcPr>
          <w:p w14:paraId="02D7A767">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14:textFill>
                  <w14:solidFill>
                    <w14:schemeClr w14:val="tx1"/>
                  </w14:solidFill>
                </w14:textFill>
              </w:rPr>
              <w:t>本科及以上</w:t>
            </w:r>
            <w:r>
              <w:rPr>
                <w:rFonts w:hint="eastAsia" w:cs="Times New Roman"/>
                <w:color w:val="000000" w:themeColor="text1"/>
                <w:kern w:val="0"/>
                <w:sz w:val="22"/>
                <w:highlight w:val="none"/>
                <w:lang w:eastAsia="zh-CN"/>
                <w14:textFill>
                  <w14:solidFill>
                    <w14:schemeClr w14:val="tx1"/>
                  </w14:solidFill>
                </w14:textFill>
              </w:rPr>
              <w:t>学历</w:t>
            </w:r>
          </w:p>
        </w:tc>
        <w:tc>
          <w:tcPr>
            <w:tcW w:w="915" w:type="dxa"/>
            <w:tcMar>
              <w:top w:w="15" w:type="dxa"/>
              <w:left w:w="15" w:type="dxa"/>
              <w:right w:w="15" w:type="dxa"/>
            </w:tcMar>
            <w:vAlign w:val="center"/>
          </w:tcPr>
          <w:p w14:paraId="2151FB34">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不限</w:t>
            </w:r>
          </w:p>
        </w:tc>
        <w:tc>
          <w:tcPr>
            <w:tcW w:w="628" w:type="dxa"/>
            <w:tcMar>
              <w:top w:w="15" w:type="dxa"/>
              <w:left w:w="15" w:type="dxa"/>
              <w:right w:w="15" w:type="dxa"/>
            </w:tcMar>
            <w:vAlign w:val="center"/>
          </w:tcPr>
          <w:p w14:paraId="3C3A4513">
            <w:pPr>
              <w:snapToGrid w:val="0"/>
              <w:spacing w:line="240" w:lineRule="exact"/>
              <w:ind w:firstLine="0" w:firstLineChars="0"/>
              <w:contextualSpacing/>
              <w:jc w:val="center"/>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35</w:t>
            </w:r>
            <w:r>
              <w:rPr>
                <w:rFonts w:hint="default" w:ascii="Times New Roman" w:hAnsi="Times New Roman" w:eastAsia="方正仿宋_GBK" w:cs="Times New Roman"/>
                <w:color w:val="000000" w:themeColor="text1"/>
                <w:kern w:val="0"/>
                <w:sz w:val="22"/>
                <w:highlight w:val="none"/>
                <w14:textFill>
                  <w14:solidFill>
                    <w14:schemeClr w14:val="tx1"/>
                  </w14:solidFill>
                </w14:textFill>
              </w:rPr>
              <w:t>周岁以下</w:t>
            </w:r>
          </w:p>
        </w:tc>
        <w:tc>
          <w:tcPr>
            <w:tcW w:w="4058" w:type="dxa"/>
            <w:tcMar>
              <w:top w:w="15" w:type="dxa"/>
              <w:left w:w="15" w:type="dxa"/>
              <w:right w:w="15" w:type="dxa"/>
            </w:tcMar>
            <w:vAlign w:val="center"/>
          </w:tcPr>
          <w:p w14:paraId="0D74B39D">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1.具有3年及以上办公室相关工作经验，有党建或活动策划方面工作经验者优先；</w:t>
            </w:r>
          </w:p>
          <w:p w14:paraId="195BD1F4">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2.具有较强的文字功底，能熟练使用办公软件，具备良好的服务意识和沟通能力，工作勤奋，认真负责，具有良好的团结协作精神；</w:t>
            </w:r>
          </w:p>
          <w:p w14:paraId="0471E16B">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3.熟悉办公室工作，普通话水平较好，持有普通话二级甲等证书及以上者优先。</w:t>
            </w:r>
          </w:p>
          <w:p w14:paraId="139948BB">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3788" w:type="dxa"/>
          </w:tcPr>
          <w:p w14:paraId="5C85CA76">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1.负责公司各类文稿、活动方案的起草、修改、报送等相关工作；</w:t>
            </w:r>
          </w:p>
          <w:p w14:paraId="0E0FDAFC">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2.负责公司各类会议筹备及会务等相关工作；</w:t>
            </w:r>
          </w:p>
          <w:p w14:paraId="02271A13">
            <w:pPr>
              <w:snapToGrid w:val="0"/>
              <w:spacing w:line="240" w:lineRule="exact"/>
              <w:ind w:firstLine="0" w:firstLineChars="0"/>
              <w:contextualSpacing/>
              <w:textAlignment w:val="cente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3.协助处理人力资源、党建、信息宣传等相关工作；</w:t>
            </w:r>
          </w:p>
          <w:p w14:paraId="3143A7AD">
            <w:pPr>
              <w:snapToGrid w:val="0"/>
              <w:spacing w:line="240" w:lineRule="exact"/>
              <w:ind w:firstLine="0" w:firstLineChars="0"/>
              <w:contextualSpacing/>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4.协助负责公司后勤管理有关工作；</w:t>
            </w:r>
          </w:p>
          <w:p w14:paraId="7790F7D7">
            <w:pPr>
              <w:snapToGrid w:val="0"/>
              <w:spacing w:line="240" w:lineRule="exact"/>
              <w:ind w:firstLine="0" w:firstLineChars="0"/>
              <w:contextualSpacing/>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r>
              <w:rPr>
                <w:rFonts w:hint="eastAsia" w:ascii="Times New Roman" w:hAnsi="Times New Roman" w:eastAsia="方正仿宋_GBK" w:cs="Times New Roman"/>
                <w:color w:val="000000" w:themeColor="text1"/>
                <w:kern w:val="0"/>
                <w:sz w:val="22"/>
                <w:highlight w:val="none"/>
                <w:lang w:val="en-US" w:eastAsia="zh-CN"/>
                <w14:textFill>
                  <w14:solidFill>
                    <w14:schemeClr w14:val="tx1"/>
                  </w14:solidFill>
                </w14:textFill>
              </w:rPr>
              <w:t>5.</w:t>
            </w: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完成领导安排的其它工作任务。</w:t>
            </w:r>
          </w:p>
        </w:tc>
        <w:tc>
          <w:tcPr>
            <w:tcW w:w="945" w:type="dxa"/>
            <w:vAlign w:val="center"/>
          </w:tcPr>
          <w:p w14:paraId="6F0D75B8">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t>执行公司薪酬体系</w:t>
            </w:r>
          </w:p>
          <w:p w14:paraId="7CF391FD">
            <w:pPr>
              <w:snapToGrid w:val="0"/>
              <w:spacing w:line="240" w:lineRule="exact"/>
              <w:ind w:firstLine="0" w:firstLineChars="0"/>
              <w:contextualSpacing/>
              <w:jc w:val="both"/>
              <w:textAlignment w:val="center"/>
              <w:rPr>
                <w:rFonts w:hint="default" w:ascii="Times New Roman" w:hAnsi="Times New Roman" w:eastAsia="方正仿宋_GBK" w:cs="Times New Roman"/>
                <w:color w:val="000000" w:themeColor="text1"/>
                <w:kern w:val="0"/>
                <w:sz w:val="22"/>
                <w:highlight w:val="none"/>
                <w:lang w:val="en-US" w:eastAsia="zh-CN"/>
                <w14:textFill>
                  <w14:solidFill>
                    <w14:schemeClr w14:val="tx1"/>
                  </w14:solidFill>
                </w14:textFill>
              </w:rPr>
            </w:pPr>
          </w:p>
        </w:tc>
        <w:tc>
          <w:tcPr>
            <w:tcW w:w="860" w:type="dxa"/>
            <w:tcMar>
              <w:top w:w="15" w:type="dxa"/>
              <w:left w:w="15" w:type="dxa"/>
              <w:right w:w="15" w:type="dxa"/>
            </w:tcMar>
            <w:vAlign w:val="center"/>
          </w:tcPr>
          <w:p w14:paraId="5ECFC7E6">
            <w:pPr>
              <w:snapToGrid w:val="0"/>
              <w:spacing w:line="240" w:lineRule="exact"/>
              <w:ind w:firstLine="0" w:firstLineChars="0"/>
              <w:contextualSpacing/>
              <w:jc w:val="center"/>
              <w:textAlignment w:val="center"/>
              <w:rPr>
                <w:rFonts w:hint="default" w:ascii="Times New Roman" w:hAnsi="Times New Roman" w:eastAsia="方正仿宋_GBK" w:cs="Times New Roman"/>
                <w:color w:val="000000" w:themeColor="text1"/>
                <w:sz w:val="22"/>
                <w:highlight w:val="none"/>
                <w14:textFill>
                  <w14:solidFill>
                    <w14:schemeClr w14:val="tx1"/>
                  </w14:solidFill>
                </w14:textFill>
              </w:rPr>
            </w:pPr>
            <w:r>
              <w:rPr>
                <w:rFonts w:hint="default" w:ascii="Times New Roman" w:hAnsi="Times New Roman" w:eastAsia="方正仿宋_GBK" w:cs="Times New Roman"/>
                <w:color w:val="000000" w:themeColor="text1"/>
                <w:sz w:val="22"/>
                <w:highlight w:val="none"/>
                <w14:textFill>
                  <w14:solidFill>
                    <w14:schemeClr w14:val="tx1"/>
                  </w14:solidFill>
                </w14:textFill>
              </w:rPr>
              <w:t>符合回避制度</w:t>
            </w:r>
          </w:p>
        </w:tc>
      </w:tr>
    </w:tbl>
    <w:p w14:paraId="51B2838D">
      <w:pPr>
        <w:rPr>
          <w:rFonts w:hint="default"/>
          <w:lang w:val="en-US" w:eastAsia="zh-CN"/>
        </w:rPr>
        <w:sectPr>
          <w:headerReference r:id="rId5" w:type="default"/>
          <w:footerReference r:id="rId7" w:type="default"/>
          <w:headerReference r:id="rId6" w:type="even"/>
          <w:footerReference r:id="rId8" w:type="even"/>
          <w:pgSz w:w="16838" w:h="11906" w:orient="landscape"/>
          <w:pgMar w:top="1531" w:right="2041" w:bottom="1531" w:left="1701" w:header="851" w:footer="1474" w:gutter="0"/>
          <w:pgNumType w:fmt="decimal"/>
          <w:cols w:space="720" w:num="1"/>
          <w:docGrid w:type="lines" w:linePitch="312" w:charSpace="0"/>
        </w:sectPr>
      </w:pPr>
    </w:p>
    <w:p w14:paraId="651666CE">
      <w:pPr>
        <w:ind w:left="0" w:leftChars="0" w:firstLine="0" w:firstLineChars="0"/>
        <w:rPr>
          <w:rFonts w:ascii="Times New Roman" w:hAnsi="Times New Roman"/>
          <w:color w:val="auto"/>
          <w:highlight w:val="none"/>
        </w:rPr>
      </w:pPr>
    </w:p>
    <w:sectPr>
      <w:headerReference r:id="rId9" w:type="default"/>
      <w:footerReference r:id="rId11" w:type="default"/>
      <w:headerReference r:id="rId10" w:type="even"/>
      <w:footerReference r:id="rId12" w:type="even"/>
      <w:pgSz w:w="11906" w:h="16838"/>
      <w:pgMar w:top="2041" w:right="1531" w:bottom="1701" w:left="1531" w:header="851" w:footer="1474" w:gutter="0"/>
      <w:pgNumType w:fmt="decimal"/>
      <w:cols w:space="0" w:num="1"/>
      <w:rtlGutter w:val="0"/>
      <w:docGrid w:type="lines" w:linePitch="44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60"/>
      </w:pPr>
      <w:r>
        <w:separator/>
      </w:r>
    </w:p>
  </w:endnote>
  <w:endnote w:type="continuationSeparator" w:id="1">
    <w:p>
      <w:pPr>
        <w:spacing w:line="240" w:lineRule="auto"/>
        <w:ind w:firstLine="6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647AE">
    <w:pPr>
      <w:pStyle w:val="7"/>
      <w:ind w:right="360" w:firstLine="560"/>
      <w:jc w:val="right"/>
      <w:rPr>
        <w:rFonts w:hint="eastAsia" w:ascii="宋体" w:hAnsi="宋体" w:eastAsia="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posOffset>3985260</wp:posOffset>
              </wp:positionH>
              <wp:positionV relativeFrom="paragraph">
                <wp:posOffset>0</wp:posOffset>
              </wp:positionV>
              <wp:extent cx="4354195" cy="805815"/>
              <wp:effectExtent l="0" t="0" r="0" b="0"/>
              <wp:wrapNone/>
              <wp:docPr id="5" name="文本框 5"/>
              <wp:cNvGraphicFramePr/>
              <a:graphic xmlns:a="http://schemas.openxmlformats.org/drawingml/2006/main">
                <a:graphicData uri="http://schemas.microsoft.com/office/word/2010/wordprocessingShape">
                  <wps:wsp>
                    <wps:cNvSpPr txBox="1"/>
                    <wps:spPr>
                      <a:xfrm>
                        <a:off x="0" y="0"/>
                        <a:ext cx="4354195" cy="8058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E6D781">
                          <w:pPr>
                            <w:pStyle w:val="7"/>
                            <w:keepNext w:val="0"/>
                            <w:keepLines w:val="0"/>
                            <w:pageBreakBefore w:val="0"/>
                            <w:widowControl/>
                            <w:kinsoku/>
                            <w:wordWrap/>
                            <w:overflowPunct/>
                            <w:topLinePunct w:val="0"/>
                            <w:bidi w:val="0"/>
                            <w:adjustRightInd/>
                            <w:snapToGrid w:val="0"/>
                            <w:ind w:right="330" w:rightChars="100"/>
                            <w:jc w:val="right"/>
                            <w:textAlignment w:val="auto"/>
                            <w:rPr>
                              <w:rFonts w:hint="eastAsia" w:eastAsia="方正仿宋_GBK"/>
                              <w:sz w:val="28"/>
                              <w:szCs w:val="28"/>
                              <w:lang w:val="en-US"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11</w:t>
                          </w:r>
                          <w:r>
                            <w:rPr>
                              <w:sz w:val="28"/>
                              <w:szCs w:val="28"/>
                            </w:rPr>
                            <w:fldChar w:fldCharType="end"/>
                          </w:r>
                          <w:r>
                            <w:rPr>
                              <w:rFonts w:hint="eastAsia"/>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13.8pt;margin-top:0pt;height:63.45pt;width:342.85pt;mso-position-horizontal-relative:margin;z-index:251659264;mso-width-relative:page;mso-height-relative:page;" filled="f" stroked="f" coordsize="21600,21600" o:gfxdata="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C4bq1NcAAAAJAQAADwAAAAAAAAABACAAAAAiAAAAZHJzL2Rvd25y&#10;ZXYueG1sUEsBAhQAFAAAAAgAh07iQHs+hlE4AgAAYgQAAA4AAAAAAAAAAQAgAAAAJgEAAGRycy9l&#10;Mm9Eb2MueG1sUEsFBgAAAAAGAAYAWQEAANAFAAAAAA==&#10;">
              <v:fill on="f" focussize="0,0"/>
              <v:stroke on="f" weight="0.5pt"/>
              <v:imagedata o:title=""/>
              <o:lock v:ext="edit" aspectratio="f"/>
              <v:textbox inset="0mm,0mm,0mm,0mm">
                <w:txbxContent>
                  <w:p w14:paraId="1FE6D781">
                    <w:pPr>
                      <w:pStyle w:val="7"/>
                      <w:keepNext w:val="0"/>
                      <w:keepLines w:val="0"/>
                      <w:pageBreakBefore w:val="0"/>
                      <w:widowControl/>
                      <w:kinsoku/>
                      <w:wordWrap/>
                      <w:overflowPunct/>
                      <w:topLinePunct w:val="0"/>
                      <w:bidi w:val="0"/>
                      <w:adjustRightInd/>
                      <w:snapToGrid w:val="0"/>
                      <w:ind w:right="330" w:rightChars="100"/>
                      <w:jc w:val="right"/>
                      <w:textAlignment w:val="auto"/>
                      <w:rPr>
                        <w:rFonts w:hint="eastAsia" w:eastAsia="方正仿宋_GBK"/>
                        <w:sz w:val="28"/>
                        <w:szCs w:val="28"/>
                        <w:lang w:val="en-US"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11</w:t>
                    </w:r>
                    <w:r>
                      <w:rPr>
                        <w:sz w:val="28"/>
                        <w:szCs w:val="28"/>
                      </w:rPr>
                      <w:fldChar w:fldCharType="end"/>
                    </w:r>
                    <w:r>
                      <w:rPr>
                        <w:rFonts w:hint="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0A7F4">
    <w:pPr>
      <w:pStyle w:val="7"/>
      <w:ind w:firstLine="360"/>
      <w:rPr>
        <w:sz w:val="28"/>
      </w:rPr>
    </w:pPr>
    <w:r>
      <w:rPr>
        <w:sz w:val="28"/>
      </w:rPr>
      <mc:AlternateContent>
        <mc:Choice Requires="wps">
          <w:drawing>
            <wp:anchor distT="0" distB="0" distL="114300" distR="114300" simplePos="0" relativeHeight="251660288" behindDoc="0" locked="0" layoutInCell="1" allowOverlap="1">
              <wp:simplePos x="0" y="0"/>
              <wp:positionH relativeFrom="margin">
                <wp:posOffset>11430</wp:posOffset>
              </wp:positionH>
              <wp:positionV relativeFrom="paragraph">
                <wp:posOffset>0</wp:posOffset>
              </wp:positionV>
              <wp:extent cx="4321175" cy="57785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321175" cy="5778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5A3B3">
                          <w:pPr>
                            <w:pStyle w:val="7"/>
                            <w:keepNext w:val="0"/>
                            <w:keepLines w:val="0"/>
                            <w:pageBreakBefore w:val="0"/>
                            <w:widowControl/>
                            <w:kinsoku/>
                            <w:wordWrap/>
                            <w:overflowPunct/>
                            <w:topLinePunct w:val="0"/>
                            <w:bidi w:val="0"/>
                            <w:adjustRightInd/>
                            <w:snapToGrid w:val="0"/>
                            <w:ind w:firstLine="280" w:firstLineChars="100"/>
                            <w:textAlignment w:val="auto"/>
                            <w:rPr>
                              <w:rFonts w:hint="eastAsia" w:eastAsia="方正仿宋_GBK"/>
                              <w:sz w:val="28"/>
                              <w:szCs w:val="28"/>
                              <w:lang w:val="en-US"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10</w:t>
                          </w:r>
                          <w:r>
                            <w:rPr>
                              <w:sz w:val="28"/>
                              <w:szCs w:val="28"/>
                            </w:rPr>
                            <w:fldChar w:fldCharType="end"/>
                          </w:r>
                          <w:r>
                            <w:rPr>
                              <w:rFonts w:hint="eastAsia"/>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9pt;margin-top:0pt;height:45.5pt;width:340.25pt;mso-position-horizontal-relative:margin;z-index:251660288;mso-width-relative:page;mso-height-relative:page;" filled="f" stroked="f" coordsize="21600,21600" o:gfxdata="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BUO4HTAAAABQEAAA8AAAAAAAAAAQAgAAAAIgAAAGRycy9kb3ducmV2Lnht&#10;bFBLAQIUABQAAAAIAIdO4kB0d7UyNwIAAGIEAAAOAAAAAAAAAAEAIAAAACIBAABkcnMvZTJvRG9j&#10;LnhtbFBLBQYAAAAABgAGAFkBAADLBQAAAAA=&#10;">
              <v:fill on="f" focussize="0,0"/>
              <v:stroke on="f" weight="0.5pt"/>
              <v:imagedata o:title=""/>
              <o:lock v:ext="edit" aspectratio="f"/>
              <v:textbox inset="0mm,0mm,0mm,0mm">
                <w:txbxContent>
                  <w:p w14:paraId="5DF5A3B3">
                    <w:pPr>
                      <w:pStyle w:val="7"/>
                      <w:keepNext w:val="0"/>
                      <w:keepLines w:val="0"/>
                      <w:pageBreakBefore w:val="0"/>
                      <w:widowControl/>
                      <w:kinsoku/>
                      <w:wordWrap/>
                      <w:overflowPunct/>
                      <w:topLinePunct w:val="0"/>
                      <w:bidi w:val="0"/>
                      <w:adjustRightInd/>
                      <w:snapToGrid w:val="0"/>
                      <w:ind w:firstLine="280" w:firstLineChars="100"/>
                      <w:textAlignment w:val="auto"/>
                      <w:rPr>
                        <w:rFonts w:hint="eastAsia" w:eastAsia="方正仿宋_GBK"/>
                        <w:sz w:val="28"/>
                        <w:szCs w:val="28"/>
                        <w:lang w:val="en-US"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10</w:t>
                    </w:r>
                    <w:r>
                      <w:rPr>
                        <w:sz w:val="28"/>
                        <w:szCs w:val="28"/>
                      </w:rPr>
                      <w:fldChar w:fldCharType="end"/>
                    </w:r>
                    <w:r>
                      <w:rPr>
                        <w:rFonts w:hint="eastAsia"/>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BC3DD">
    <w:pPr>
      <w:pStyle w:val="7"/>
      <w:tabs>
        <w:tab w:val="center" w:pos="6548"/>
        <w:tab w:val="right" w:pos="12856"/>
      </w:tabs>
      <w:ind w:right="360" w:firstLine="11480" w:firstLineChars="4100"/>
      <w:jc w:val="both"/>
      <w:rPr>
        <w:rFonts w:hint="eastAsia" w:ascii="宋体" w:hAnsi="宋体" w:eastAsia="宋体"/>
        <w:sz w:val="28"/>
      </w:rPr>
    </w:pPr>
    <w:r>
      <w:rPr>
        <w:rFonts w:hint="eastAsia" w:ascii="宋体" w:hAnsi="宋体" w:eastAsia="宋体"/>
        <w:sz w:val="28"/>
        <w:lang w:eastAsia="zh-CN"/>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309EA">
    <w:pPr>
      <w:pStyle w:val="7"/>
      <w:ind w:firstLine="0" w:firstLineChars="0"/>
      <w:rPr>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60"/>
      </w:pPr>
      <w:r>
        <w:separator/>
      </w:r>
    </w:p>
  </w:footnote>
  <w:footnote w:type="continuationSeparator" w:id="1">
    <w:p>
      <w:pPr>
        <w:spacing w:line="240" w:lineRule="auto"/>
        <w:ind w:firstLine="6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FAE30">
    <w:pPr>
      <w:ind w:firstLine="6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344FE">
    <w:pPr>
      <w:ind w:firstLine="6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EF60D">
    <w:pPr>
      <w:ind w:firstLine="6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28BEB">
    <w:pPr>
      <w:ind w:firstLine="6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jMWU4NTJmOTY4ZmJkNzEwN2M3YzUxMGU3NWE4OGQifQ=="/>
  </w:docVars>
  <w:rsids>
    <w:rsidRoot w:val="45B767BE"/>
    <w:rsid w:val="00106348"/>
    <w:rsid w:val="00220B91"/>
    <w:rsid w:val="003108D7"/>
    <w:rsid w:val="00593248"/>
    <w:rsid w:val="00927C71"/>
    <w:rsid w:val="00AE556A"/>
    <w:rsid w:val="00D838F0"/>
    <w:rsid w:val="011A2F9F"/>
    <w:rsid w:val="03484149"/>
    <w:rsid w:val="03C020B7"/>
    <w:rsid w:val="05B87F96"/>
    <w:rsid w:val="06D11AC9"/>
    <w:rsid w:val="07A016BD"/>
    <w:rsid w:val="09022AA6"/>
    <w:rsid w:val="0B362D60"/>
    <w:rsid w:val="0BA800FC"/>
    <w:rsid w:val="0C725182"/>
    <w:rsid w:val="0D73211D"/>
    <w:rsid w:val="0DD114D4"/>
    <w:rsid w:val="0E30649E"/>
    <w:rsid w:val="119463E5"/>
    <w:rsid w:val="172E0C15"/>
    <w:rsid w:val="18197919"/>
    <w:rsid w:val="183710C7"/>
    <w:rsid w:val="1B5B5EB7"/>
    <w:rsid w:val="1B9813B3"/>
    <w:rsid w:val="1EF117D0"/>
    <w:rsid w:val="20FA2EAA"/>
    <w:rsid w:val="21F66F9D"/>
    <w:rsid w:val="235023C3"/>
    <w:rsid w:val="2449471F"/>
    <w:rsid w:val="25094267"/>
    <w:rsid w:val="26097CF4"/>
    <w:rsid w:val="26A75B38"/>
    <w:rsid w:val="27EB74D9"/>
    <w:rsid w:val="2A731BAD"/>
    <w:rsid w:val="2C0235BB"/>
    <w:rsid w:val="2C090AEC"/>
    <w:rsid w:val="2CBB7238"/>
    <w:rsid w:val="2DEB4342"/>
    <w:rsid w:val="2F007E3D"/>
    <w:rsid w:val="2F4B5DEA"/>
    <w:rsid w:val="30DD7C4E"/>
    <w:rsid w:val="3117346E"/>
    <w:rsid w:val="33EB37BF"/>
    <w:rsid w:val="34BC0867"/>
    <w:rsid w:val="3529141C"/>
    <w:rsid w:val="374F144B"/>
    <w:rsid w:val="3C5205D1"/>
    <w:rsid w:val="3CD85543"/>
    <w:rsid w:val="404F10C9"/>
    <w:rsid w:val="41A35B9C"/>
    <w:rsid w:val="42C66FBF"/>
    <w:rsid w:val="44297A81"/>
    <w:rsid w:val="44F55712"/>
    <w:rsid w:val="45B767BE"/>
    <w:rsid w:val="45C046FE"/>
    <w:rsid w:val="45FF48E2"/>
    <w:rsid w:val="463F3C9A"/>
    <w:rsid w:val="4B5C3C31"/>
    <w:rsid w:val="4D5F5D9D"/>
    <w:rsid w:val="4DC46503"/>
    <w:rsid w:val="4E387720"/>
    <w:rsid w:val="4F5530FF"/>
    <w:rsid w:val="4FFE6FB9"/>
    <w:rsid w:val="51C25805"/>
    <w:rsid w:val="523D7FDA"/>
    <w:rsid w:val="52D77CE9"/>
    <w:rsid w:val="547C259B"/>
    <w:rsid w:val="55B33BBF"/>
    <w:rsid w:val="57B92AF1"/>
    <w:rsid w:val="58DA6810"/>
    <w:rsid w:val="5A2C23D7"/>
    <w:rsid w:val="5D6E6D9A"/>
    <w:rsid w:val="5EF41D40"/>
    <w:rsid w:val="603C0E70"/>
    <w:rsid w:val="6073579D"/>
    <w:rsid w:val="64091E2A"/>
    <w:rsid w:val="641F26A6"/>
    <w:rsid w:val="6820095A"/>
    <w:rsid w:val="68E777AA"/>
    <w:rsid w:val="6ADD272C"/>
    <w:rsid w:val="6B01164B"/>
    <w:rsid w:val="6C1156D8"/>
    <w:rsid w:val="6D65420E"/>
    <w:rsid w:val="6E644C28"/>
    <w:rsid w:val="6EA27F90"/>
    <w:rsid w:val="6EF833C0"/>
    <w:rsid w:val="70234F3C"/>
    <w:rsid w:val="720158B9"/>
    <w:rsid w:val="723E077B"/>
    <w:rsid w:val="72BF7DD0"/>
    <w:rsid w:val="753E4545"/>
    <w:rsid w:val="75557600"/>
    <w:rsid w:val="763D06F3"/>
    <w:rsid w:val="77904DB5"/>
    <w:rsid w:val="779C6248"/>
    <w:rsid w:val="7828402F"/>
    <w:rsid w:val="784A3A42"/>
    <w:rsid w:val="784C0D6B"/>
    <w:rsid w:val="798E213F"/>
    <w:rsid w:val="7ABC003C"/>
    <w:rsid w:val="7ABF1039"/>
    <w:rsid w:val="7BD55DBA"/>
    <w:rsid w:val="7C2C7AA8"/>
    <w:rsid w:val="7EEC0F5B"/>
    <w:rsid w:val="7F103561"/>
    <w:rsid w:val="7FE66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90" w:lineRule="exact"/>
      <w:ind w:firstLine="200" w:firstLineChars="200"/>
      <w:jc w:val="both"/>
    </w:pPr>
    <w:rPr>
      <w:rFonts w:ascii="Times New Roman" w:hAnsi="Times New Roman" w:eastAsia="方正仿宋_GBK" w:cstheme="minorBidi"/>
      <w:kern w:val="2"/>
      <w:sz w:val="33"/>
      <w:szCs w:val="22"/>
      <w:lang w:val="en-US" w:eastAsia="zh-CN" w:bidi="ar-SA"/>
    </w:rPr>
  </w:style>
  <w:style w:type="character" w:default="1" w:styleId="13">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ind w:firstLine="660"/>
    </w:pPr>
  </w:style>
  <w:style w:type="paragraph" w:customStyle="1" w:styleId="3">
    <w:name w:val="附件标题-1"/>
    <w:next w:val="1"/>
    <w:qFormat/>
    <w:uiPriority w:val="0"/>
    <w:pPr>
      <w:widowControl w:val="0"/>
      <w:spacing w:beforeLines="50" w:afterLines="50"/>
      <w:jc w:val="center"/>
    </w:pPr>
    <w:rPr>
      <w:rFonts w:ascii="Times New Roman" w:hAnsi="Times New Roman" w:eastAsia="黑体" w:cs="Times New Roman"/>
      <w:kern w:val="2"/>
      <w:sz w:val="32"/>
      <w:szCs w:val="24"/>
      <w:lang w:val="en-US" w:eastAsia="zh-CN" w:bidi="ar-SA"/>
    </w:rPr>
  </w:style>
  <w:style w:type="paragraph" w:styleId="4">
    <w:name w:val="Normal Indent"/>
    <w:basedOn w:val="1"/>
    <w:qFormat/>
    <w:uiPriority w:val="0"/>
    <w:pPr>
      <w:ind w:firstLine="420"/>
    </w:pPr>
    <w:rPr>
      <w:rFonts w:ascii="Calibri" w:hAnsi="Calibri" w:eastAsia="宋体" w:cs="Times New Roman"/>
      <w:szCs w:val="24"/>
    </w:rPr>
  </w:style>
  <w:style w:type="paragraph" w:styleId="5">
    <w:name w:val="annotation text"/>
    <w:basedOn w:val="1"/>
    <w:semiHidden/>
    <w:unhideWhenUsed/>
    <w:qFormat/>
    <w:uiPriority w:val="99"/>
    <w:pPr>
      <w:jc w:val="left"/>
    </w:pPr>
  </w:style>
  <w:style w:type="paragraph" w:styleId="6">
    <w:name w:val="Plain Text"/>
    <w:basedOn w:val="1"/>
    <w:unhideWhenUsed/>
    <w:qFormat/>
    <w:uiPriority w:val="0"/>
    <w:rPr>
      <w:rFonts w:hint="eastAsia" w:ascii="宋体" w:hAnsi="Courier New" w:cs="Courier New"/>
      <w:szCs w:val="21"/>
    </w:rPr>
  </w:style>
  <w:style w:type="paragraph" w:styleId="7">
    <w:name w:val="footer"/>
    <w:basedOn w:val="1"/>
    <w:next w:val="1"/>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Normal (Web)"/>
    <w:basedOn w:val="1"/>
    <w:qFormat/>
    <w:uiPriority w:val="0"/>
    <w:pPr>
      <w:spacing w:beforeAutospacing="1" w:afterAutospacing="1"/>
      <w:jc w:val="left"/>
    </w:pPr>
    <w:rPr>
      <w:rFonts w:ascii="Calibri" w:hAnsi="Calibri" w:eastAsia="宋体" w:cs="黑体"/>
      <w:kern w:val="0"/>
      <w:sz w:val="24"/>
      <w:szCs w:val="24"/>
    </w:rPr>
  </w:style>
  <w:style w:type="paragraph" w:styleId="10">
    <w:name w:val="Title"/>
    <w:basedOn w:val="1"/>
    <w:next w:val="1"/>
    <w:qFormat/>
    <w:uiPriority w:val="0"/>
    <w:pPr>
      <w:spacing w:before="240" w:beforeLines="0" w:after="60" w:afterLines="0"/>
      <w:jc w:val="center"/>
      <w:outlineLvl w:val="0"/>
    </w:pPr>
    <w:rPr>
      <w:rFonts w:ascii="Arial" w:hAnsi="Arial" w:eastAsia="宋体" w:cs="Times New Roman"/>
      <w:b/>
      <w:sz w:val="32"/>
    </w:rPr>
  </w:style>
  <w:style w:type="paragraph" w:styleId="11">
    <w:name w:val="Body Text First Indent"/>
    <w:basedOn w:val="2"/>
    <w:qFormat/>
    <w:uiPriority w:val="0"/>
    <w:pPr>
      <w:ind w:firstLine="100" w:firstLineChars="100"/>
    </w:pPr>
  </w:style>
  <w:style w:type="character" w:styleId="14">
    <w:name w:val="Strong"/>
    <w:basedOn w:val="13"/>
    <w:qFormat/>
    <w:uiPriority w:val="0"/>
    <w:rPr>
      <w:b/>
    </w:rPr>
  </w:style>
  <w:style w:type="paragraph" w:customStyle="1" w:styleId="15">
    <w:name w:val="Default"/>
    <w:next w:val="11"/>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正文2"/>
    <w:basedOn w:val="1"/>
    <w:next w:val="1"/>
    <w:qFormat/>
    <w:uiPriority w:val="99"/>
  </w:style>
  <w:style w:type="character" w:customStyle="1" w:styleId="17">
    <w:name w:val="font11"/>
    <w:basedOn w:val="13"/>
    <w:qFormat/>
    <w:uiPriority w:val="0"/>
    <w:rPr>
      <w:rFonts w:hint="eastAsia" w:ascii="方正小标宋_GBK" w:hAnsi="方正小标宋_GBK" w:eastAsia="方正小标宋_GBK" w:cs="方正小标宋_GBK"/>
      <w:color w:val="000000"/>
      <w:sz w:val="44"/>
      <w:szCs w:val="44"/>
      <w:u w:val="none"/>
    </w:rPr>
  </w:style>
  <w:style w:type="character" w:customStyle="1" w:styleId="18">
    <w:name w:val="font51"/>
    <w:basedOn w:val="13"/>
    <w:qFormat/>
    <w:uiPriority w:val="0"/>
    <w:rPr>
      <w:rFonts w:hint="eastAsia" w:ascii="方正小标宋_GBK" w:hAnsi="方正小标宋_GBK" w:eastAsia="方正小标宋_GBK" w:cs="方正小标宋_GBK"/>
      <w:color w:val="0000FF"/>
      <w:sz w:val="44"/>
      <w:szCs w:val="4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6819</Words>
  <Characters>7352</Characters>
  <Lines>217</Lines>
  <Paragraphs>107</Paragraphs>
  <TotalTime>0</TotalTime>
  <ScaleCrop>false</ScaleCrop>
  <LinksUpToDate>false</LinksUpToDate>
  <CharactersWithSpaces>7413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2025-08-06T06:44:00Z</dcterms:created>
  <dc:creator>爱^_^靜児</dc:creator>
  <cp:lastModifiedBy>李彬</cp:lastModifiedBy>
  <cp:lastPrinted>2025-10-23T09:13:00Z</cp:lastPrinted>
  <dcterms:modified xsi:type="dcterms:W3CDTF">2025-10-24T03:05:49Z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390258BA535D49FA852B1A4ECB4DEA42_13</vt:lpwstr>
  </property>
  <property fmtid="{D5CDD505-2E9C-101B-9397-08002B2CF9AE}" pid="4" name="KSOTemplateDocerSaveRecord">
    <vt:lpwstr>eyJoZGlkIjoiNTg3Yjk3MjZhMTFkM2I2YmYwYjYxNGU1Y2M3MTFlMmQiLCJ1c2VySWQiOiIzNzE2OTMyOTUifQ==</vt:lpwstr>
  </property>
</Properties>
</file>