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461D">
      <w:pPr>
        <w:numPr>
          <w:ilvl w:val="0"/>
          <w:numId w:val="0"/>
        </w:numPr>
        <w:adjustRightInd/>
        <w:spacing w:line="560" w:lineRule="exact"/>
        <w:ind w:leftChars="0" w:right="0" w:rightChars="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rPr>
        <w:t>榜单任务</w:t>
      </w:r>
      <w:r>
        <w:rPr>
          <w:rFonts w:hint="eastAsia" w:ascii="黑体" w:hAnsi="黑体" w:eastAsia="黑体" w:cs="黑体"/>
          <w:b/>
          <w:bCs/>
          <w:sz w:val="32"/>
          <w:szCs w:val="32"/>
          <w:lang w:val="en-US" w:eastAsia="zh-CN"/>
        </w:rPr>
        <w:t>表</w:t>
      </w:r>
    </w:p>
    <w:p w14:paraId="0E1DE261">
      <w:pPr>
        <w:spacing w:line="106" w:lineRule="exact"/>
      </w:pPr>
    </w:p>
    <w:tbl>
      <w:tblPr>
        <w:tblStyle w:val="8"/>
        <w:tblW w:w="90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0"/>
        <w:gridCol w:w="7619"/>
        <w:gridCol w:w="10"/>
      </w:tblGrid>
      <w:tr w14:paraId="687A5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435" w:hRule="atLeast"/>
          <w:jc w:val="center"/>
        </w:trPr>
        <w:tc>
          <w:tcPr>
            <w:tcW w:w="1450" w:type="dxa"/>
            <w:noWrap w:val="0"/>
            <w:vAlign w:val="top"/>
          </w:tcPr>
          <w:p w14:paraId="2FA1064F">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bookmarkStart w:id="0" w:name="OLE_LINK1" w:colFirst="1" w:colLast="1"/>
            <w:r>
              <w:rPr>
                <w:rFonts w:hint="eastAsia" w:ascii="黑体" w:hAnsi="Times New Roman" w:eastAsia="黑体" w:cs="Times New Roman"/>
                <w:color w:val="000000"/>
                <w:sz w:val="24"/>
                <w:szCs w:val="24"/>
                <w:lang w:eastAsia="zh-CN"/>
              </w:rPr>
              <w:t>榜单名称</w:t>
            </w:r>
          </w:p>
        </w:tc>
        <w:tc>
          <w:tcPr>
            <w:tcW w:w="7619" w:type="dxa"/>
            <w:noWrap w:val="0"/>
            <w:vAlign w:val="center"/>
          </w:tcPr>
          <w:p w14:paraId="081F053F">
            <w:pPr>
              <w:widowControl/>
              <w:kinsoku w:val="0"/>
              <w:autoSpaceDE w:val="0"/>
              <w:autoSpaceDN w:val="0"/>
              <w:snapToGrid w:val="0"/>
              <w:spacing w:line="400" w:lineRule="exact"/>
              <w:ind w:left="0" w:leftChars="0" w:right="0" w:rightChars="0"/>
              <w:jc w:val="center"/>
              <w:rPr>
                <w:rFonts w:hint="default" w:ascii="仿宋_GB2312" w:eastAsia="仿宋_GB2312"/>
                <w:sz w:val="22"/>
                <w:szCs w:val="24"/>
                <w:lang w:val="en-US" w:eastAsia="zh-CN"/>
              </w:rPr>
            </w:pPr>
            <w:r>
              <w:rPr>
                <w:rFonts w:hint="eastAsia" w:ascii="仿宋_GB2312" w:eastAsia="仿宋_GB2312"/>
                <w:sz w:val="22"/>
                <w:szCs w:val="24"/>
                <w:lang w:val="en-US" w:eastAsia="zh-CN"/>
              </w:rPr>
              <w:t>物理海洋学岗位</w:t>
            </w:r>
          </w:p>
        </w:tc>
      </w:tr>
      <w:tr w14:paraId="63E38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435" w:hRule="atLeast"/>
          <w:jc w:val="center"/>
        </w:trPr>
        <w:tc>
          <w:tcPr>
            <w:tcW w:w="1450" w:type="dxa"/>
            <w:noWrap w:val="0"/>
            <w:vAlign w:val="center"/>
          </w:tcPr>
          <w:p w14:paraId="5E85F815">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聘任类型</w:t>
            </w:r>
          </w:p>
        </w:tc>
        <w:tc>
          <w:tcPr>
            <w:tcW w:w="7619" w:type="dxa"/>
            <w:noWrap w:val="0"/>
            <w:vAlign w:val="center"/>
          </w:tcPr>
          <w:p w14:paraId="2A678CF2">
            <w:pPr>
              <w:pStyle w:val="7"/>
              <w:widowControl/>
              <w:kinsoku w:val="0"/>
              <w:autoSpaceDE w:val="0"/>
              <w:autoSpaceDN w:val="0"/>
              <w:snapToGrid w:val="0"/>
              <w:spacing w:line="400" w:lineRule="exact"/>
              <w:ind w:left="692" w:leftChars="0" w:right="0" w:rightChars="0"/>
              <w:jc w:val="left"/>
              <w:rPr>
                <w:rFonts w:ascii="仿宋_GB2312" w:hAnsi="Times New Roman" w:eastAsia="仿宋_GB2312" w:cs="Times New Roman"/>
                <w:sz w:val="22"/>
                <w:szCs w:val="24"/>
                <w:lang w:eastAsia="zh-CN"/>
              </w:rPr>
            </w:pPr>
            <w:r>
              <w:rPr>
                <w:rFonts w:hint="eastAsia" w:ascii="仿宋_GB2312" w:hAnsi="Times New Roman" w:eastAsia="仿宋_GB2312" w:cs="Times New Roman"/>
                <w:sz w:val="22"/>
                <w:szCs w:val="24"/>
                <w:lang w:eastAsia="zh-CN"/>
              </w:rPr>
              <w:t xml:space="preserve">☑特聘教授 </w:t>
            </w:r>
            <w:r>
              <w:rPr>
                <w:rFonts w:ascii="仿宋_GB2312" w:hAnsi="Times New Roman" w:eastAsia="仿宋_GB2312" w:cs="Times New Roman"/>
                <w:sz w:val="22"/>
                <w:szCs w:val="24"/>
                <w:lang w:eastAsia="zh-CN"/>
              </w:rPr>
              <w:t xml:space="preserve">  </w:t>
            </w:r>
            <w:r>
              <w:rPr>
                <w:rFonts w:hint="eastAsia" w:ascii="仿宋_GB2312" w:hAnsi="Times New Roman" w:eastAsia="仿宋_GB2312" w:cs="Times New Roman"/>
                <w:sz w:val="22"/>
                <w:szCs w:val="24"/>
                <w:lang w:eastAsia="zh-CN"/>
              </w:rPr>
              <w:t>□青年学者</w:t>
            </w:r>
          </w:p>
        </w:tc>
      </w:tr>
      <w:tr w14:paraId="7049F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1332" w:hRule="atLeast"/>
          <w:jc w:val="center"/>
        </w:trPr>
        <w:tc>
          <w:tcPr>
            <w:tcW w:w="1450" w:type="dxa"/>
            <w:noWrap w:val="0"/>
            <w:vAlign w:val="center"/>
          </w:tcPr>
          <w:p w14:paraId="75C89EB9">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榜单背景</w:t>
            </w:r>
          </w:p>
        </w:tc>
        <w:tc>
          <w:tcPr>
            <w:tcW w:w="7619" w:type="dxa"/>
            <w:noWrap w:val="0"/>
            <w:vAlign w:val="top"/>
          </w:tcPr>
          <w:p w14:paraId="0199F07D">
            <w:pPr>
              <w:pStyle w:val="7"/>
              <w:keepNext w:val="0"/>
              <w:keepLines w:val="0"/>
              <w:pageBreakBefore w:val="0"/>
              <w:widowControl/>
              <w:kinsoku w:val="0"/>
              <w:wordWrap/>
              <w:overflowPunct/>
              <w:topLinePunct w:val="0"/>
              <w:autoSpaceDE w:val="0"/>
              <w:autoSpaceDN w:val="0"/>
              <w:bidi w:val="0"/>
              <w:adjustRightInd/>
              <w:snapToGrid w:val="0"/>
              <w:spacing w:before="157" w:beforeLines="50" w:line="240" w:lineRule="auto"/>
              <w:ind w:left="0" w:leftChars="0" w:right="0" w:rightChars="0" w:firstLine="420" w:firstLineChars="200"/>
              <w:textAlignment w:val="auto"/>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南海</w:t>
            </w:r>
            <w:r>
              <w:rPr>
                <w:rFonts w:hint="eastAsia" w:ascii="仿宋_GB2312" w:hAnsi="Times New Roman" w:eastAsia="仿宋_GB2312" w:cs="Times New Roman"/>
                <w:sz w:val="21"/>
                <w:szCs w:val="21"/>
                <w:lang w:val="en-US" w:eastAsia="zh-CN"/>
              </w:rPr>
              <w:t>西北部</w:t>
            </w:r>
            <w:r>
              <w:rPr>
                <w:rFonts w:hint="eastAsia" w:ascii="仿宋_GB2312" w:hAnsi="Times New Roman" w:eastAsia="仿宋_GB2312" w:cs="Times New Roman"/>
                <w:sz w:val="21"/>
                <w:szCs w:val="21"/>
                <w:lang w:eastAsia="zh-CN"/>
              </w:rPr>
              <w:t>是</w:t>
            </w:r>
            <w:r>
              <w:rPr>
                <w:rFonts w:hint="eastAsia" w:ascii="仿宋_GB2312" w:hAnsi="Times New Roman" w:eastAsia="仿宋_GB2312" w:cs="Times New Roman"/>
                <w:sz w:val="21"/>
                <w:szCs w:val="21"/>
                <w:lang w:val="en-US" w:eastAsia="zh-CN"/>
              </w:rPr>
              <w:t>海洋强国战略实施和海上新广东建设的关键</w:t>
            </w:r>
            <w:r>
              <w:rPr>
                <w:rFonts w:hint="eastAsia" w:ascii="仿宋_GB2312" w:hAnsi="Times New Roman" w:eastAsia="仿宋_GB2312" w:cs="Times New Roman"/>
                <w:sz w:val="21"/>
                <w:szCs w:val="21"/>
                <w:lang w:eastAsia="zh-CN"/>
              </w:rPr>
              <w:t>海域。</w:t>
            </w:r>
            <w:r>
              <w:rPr>
                <w:rFonts w:hint="eastAsia" w:ascii="仿宋_GB2312" w:hAnsi="Times New Roman" w:eastAsia="仿宋_GB2312" w:cs="Times New Roman"/>
                <w:sz w:val="21"/>
                <w:szCs w:val="21"/>
                <w:lang w:val="en-US" w:eastAsia="zh-CN"/>
              </w:rPr>
              <w:t>该海域动力过程复杂、灾害事件频发。厘清海洋动力过程及规律是保障资源开发和开展海上活动的根本基础。海洋经济高质量发展亟需高水平的海洋环境保障和高层次创新人才支撑。</w:t>
            </w:r>
          </w:p>
        </w:tc>
      </w:tr>
      <w:tr w14:paraId="533C8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3" w:hRule="atLeast"/>
          <w:jc w:val="center"/>
        </w:trPr>
        <w:tc>
          <w:tcPr>
            <w:tcW w:w="1450" w:type="dxa"/>
            <w:noWrap w:val="0"/>
            <w:vAlign w:val="center"/>
          </w:tcPr>
          <w:p w14:paraId="7C4632E0">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需求目标</w:t>
            </w:r>
          </w:p>
        </w:tc>
        <w:tc>
          <w:tcPr>
            <w:tcW w:w="7629" w:type="dxa"/>
            <w:gridSpan w:val="2"/>
            <w:noWrap w:val="0"/>
            <w:vAlign w:val="top"/>
          </w:tcPr>
          <w:p w14:paraId="52F706C8">
            <w:pPr>
              <w:pStyle w:val="7"/>
              <w:keepNext w:val="0"/>
              <w:keepLines w:val="0"/>
              <w:pageBreakBefore w:val="0"/>
              <w:widowControl/>
              <w:kinsoku w:val="0"/>
              <w:wordWrap/>
              <w:overflowPunct/>
              <w:topLinePunct w:val="0"/>
              <w:autoSpaceDE w:val="0"/>
              <w:autoSpaceDN w:val="0"/>
              <w:bidi w:val="0"/>
              <w:adjustRightInd w:val="0"/>
              <w:snapToGrid w:val="0"/>
              <w:spacing w:before="157" w:beforeLines="50" w:line="240" w:lineRule="auto"/>
              <w:textAlignment w:val="auto"/>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 xml:space="preserve">    带领团队加强南海西北部海洋动力过程领域的基础与应用基础研究，提升物理海洋学教育教学水平，培育应用创新人才，推动学科发展，服务海洋安全和海洋资源开发保障。</w:t>
            </w:r>
          </w:p>
        </w:tc>
      </w:tr>
      <w:tr w14:paraId="619CD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9" w:hRule="atLeast"/>
          <w:jc w:val="center"/>
        </w:trPr>
        <w:tc>
          <w:tcPr>
            <w:tcW w:w="1450" w:type="dxa"/>
            <w:noWrap w:val="0"/>
            <w:vAlign w:val="center"/>
          </w:tcPr>
          <w:p w14:paraId="3B0A708F">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任务核心指标</w:t>
            </w:r>
          </w:p>
        </w:tc>
        <w:tc>
          <w:tcPr>
            <w:tcW w:w="7629" w:type="dxa"/>
            <w:gridSpan w:val="2"/>
            <w:noWrap w:val="0"/>
            <w:vAlign w:val="top"/>
          </w:tcPr>
          <w:p w14:paraId="641A17C8">
            <w:pPr>
              <w:pStyle w:val="7"/>
              <w:keepNext w:val="0"/>
              <w:keepLines w:val="0"/>
              <w:pageBreakBefore w:val="0"/>
              <w:widowControl/>
              <w:kinsoku w:val="0"/>
              <w:wordWrap/>
              <w:overflowPunct/>
              <w:topLinePunct w:val="0"/>
              <w:autoSpaceDE w:val="0"/>
              <w:autoSpaceDN w:val="0"/>
              <w:bidi w:val="0"/>
              <w:adjustRightInd/>
              <w:snapToGrid w:val="0"/>
              <w:spacing w:before="157" w:beforeLines="50" w:line="240" w:lineRule="auto"/>
              <w:ind w:left="0" w:leftChars="0" w:right="0" w:rightChars="0" w:firstLine="420" w:firstLineChars="200"/>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1）教育教学。落实立德树人根本任务，履行教书育人职责，每学年至少主讲1门物理海洋学方向的本科生主干课程，指导硕博研究生。</w:t>
            </w:r>
          </w:p>
          <w:p w14:paraId="690ECE2C">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2）科学研究。围绕海洋强国和广东海洋强省建设需求，开展海洋动力学领域的原创性、重大关键问题研究和攻关，承担重大科研和科技开发项目，取得突破性、标志性成果，促进产学研结合和科研成果转化。</w:t>
            </w:r>
          </w:p>
          <w:p w14:paraId="77C4B5E1">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3）人才培养。培养高校青年骨干教师。</w:t>
            </w:r>
          </w:p>
          <w:p w14:paraId="00FEA421">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4）学科贡献。领导物理海洋学科的学术梯队建设，主攻南海西北海洋动力过程研究，保持或赶超本领域国际先进、国内领先水平，提升学科在国际国内学术领域的竞争力和影响力。</w:t>
            </w:r>
          </w:p>
        </w:tc>
      </w:tr>
      <w:tr w14:paraId="30F58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9" w:hRule="atLeast"/>
          <w:jc w:val="center"/>
        </w:trPr>
        <w:tc>
          <w:tcPr>
            <w:tcW w:w="1450" w:type="dxa"/>
            <w:noWrap w:val="0"/>
            <w:vAlign w:val="center"/>
          </w:tcPr>
          <w:p w14:paraId="130F31F3">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预期效益</w:t>
            </w:r>
          </w:p>
        </w:tc>
        <w:tc>
          <w:tcPr>
            <w:tcW w:w="7629" w:type="dxa"/>
            <w:gridSpan w:val="2"/>
            <w:noWrap w:val="0"/>
            <w:vAlign w:val="top"/>
          </w:tcPr>
          <w:p w14:paraId="6F9D4D12">
            <w:pPr>
              <w:pStyle w:val="7"/>
              <w:keepNext w:val="0"/>
              <w:keepLines w:val="0"/>
              <w:pageBreakBefore w:val="0"/>
              <w:widowControl/>
              <w:kinsoku w:val="0"/>
              <w:wordWrap/>
              <w:overflowPunct/>
              <w:topLinePunct w:val="0"/>
              <w:autoSpaceDE w:val="0"/>
              <w:autoSpaceDN w:val="0"/>
              <w:bidi w:val="0"/>
              <w:adjustRightInd w:val="0"/>
              <w:snapToGrid w:val="0"/>
              <w:spacing w:before="157" w:beforeLines="50" w:line="240" w:lineRule="auto"/>
              <w:ind w:left="0" w:leftChars="0" w:right="0" w:rightChars="0" w:firstLine="420" w:firstLineChars="200"/>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1）教书育人。每学年至少主讲1门本科生主干课程，建设省级以上专业课程，指导博士和硕士研究生6人以上，支撑海洋科学国家一流专业建设。</w:t>
            </w:r>
          </w:p>
          <w:p w14:paraId="5A5A89DF">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2）科研创新。承担国家地方重大科研项目，发表高水平论文，形成应用示范案例，获省部级科技奖励1项。</w:t>
            </w:r>
          </w:p>
          <w:p w14:paraId="17C92CA8">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3）人才培养。培养2名以上省内高校青年教师，其中省内其他高校青年教师不少于1名。</w:t>
            </w:r>
          </w:p>
          <w:p w14:paraId="6406AD5D">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4）学科提升。建设一支高水平的教学科研团队，提升学科在国际国内学术领域的竞争力和影响力。</w:t>
            </w:r>
          </w:p>
        </w:tc>
      </w:tr>
      <w:tr w14:paraId="2BEDA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1450" w:type="dxa"/>
            <w:noWrap w:val="0"/>
            <w:vAlign w:val="center"/>
          </w:tcPr>
          <w:p w14:paraId="41AE5FE1">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时限要求</w:t>
            </w:r>
          </w:p>
        </w:tc>
        <w:tc>
          <w:tcPr>
            <w:tcW w:w="7629" w:type="dxa"/>
            <w:gridSpan w:val="2"/>
            <w:noWrap w:val="0"/>
            <w:vAlign w:val="center"/>
          </w:tcPr>
          <w:p w14:paraId="243FB7C3">
            <w:pPr>
              <w:pStyle w:val="7"/>
              <w:widowControl/>
              <w:kinsoku w:val="0"/>
              <w:autoSpaceDE w:val="0"/>
              <w:autoSpaceDN w:val="0"/>
              <w:snapToGrid w:val="0"/>
              <w:spacing w:line="400" w:lineRule="exact"/>
              <w:ind w:left="252" w:leftChars="0" w:right="0" w:rightChars="0"/>
              <w:jc w:val="left"/>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本</w:t>
            </w:r>
            <w:r>
              <w:rPr>
                <w:rFonts w:hint="eastAsia" w:ascii="仿宋_GB2312" w:hAnsi="Times New Roman" w:eastAsia="仿宋_GB2312" w:cs="Times New Roman"/>
                <w:sz w:val="21"/>
                <w:szCs w:val="21"/>
                <w:lang w:val="en-US" w:eastAsia="zh-CN"/>
              </w:rPr>
              <w:t>项目预计实施期限 3 年。</w:t>
            </w:r>
          </w:p>
        </w:tc>
      </w:tr>
      <w:tr w14:paraId="1098B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2820" w:hRule="atLeast"/>
          <w:jc w:val="center"/>
        </w:trPr>
        <w:tc>
          <w:tcPr>
            <w:tcW w:w="1450" w:type="dxa"/>
            <w:noWrap w:val="0"/>
            <w:vAlign w:val="center"/>
          </w:tcPr>
          <w:p w14:paraId="5F17E5C7">
            <w:pPr>
              <w:pStyle w:val="7"/>
              <w:widowControl/>
              <w:kinsoku w:val="0"/>
              <w:autoSpaceDE w:val="0"/>
              <w:autoSpaceDN w:val="0"/>
              <w:snapToGrid w:val="0"/>
              <w:spacing w:line="400" w:lineRule="exact"/>
              <w:jc w:val="center"/>
              <w:rPr>
                <w:rFonts w:hint="eastAsia"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揭榜对象</w:t>
            </w:r>
          </w:p>
          <w:p w14:paraId="3233EC5E">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条件要求</w:t>
            </w:r>
          </w:p>
        </w:tc>
        <w:tc>
          <w:tcPr>
            <w:tcW w:w="7619" w:type="dxa"/>
            <w:noWrap w:val="0"/>
            <w:vAlign w:val="top"/>
          </w:tcPr>
          <w:p w14:paraId="161E790A">
            <w:pPr>
              <w:pStyle w:val="2"/>
              <w:keepNext w:val="0"/>
              <w:keepLines w:val="0"/>
              <w:pageBreakBefore w:val="0"/>
              <w:widowControl w:val="0"/>
              <w:kinsoku/>
              <w:wordWrap/>
              <w:overflowPunct/>
              <w:topLinePunct w:val="0"/>
              <w:autoSpaceDE/>
              <w:autoSpaceDN/>
              <w:bidi w:val="0"/>
              <w:adjustRightInd w:val="0"/>
              <w:snapToGrid w:val="0"/>
              <w:spacing w:before="157" w:beforeLines="5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default" w:ascii="仿宋_GB2312" w:hAnsi="仿宋_GB2312" w:eastAsia="仿宋_GB2312" w:cs="仿宋_GB2312"/>
                <w:sz w:val="21"/>
                <w:szCs w:val="21"/>
                <w:lang w:eastAsia="zh-Hans"/>
              </w:rPr>
              <w:t>1</w:t>
            </w:r>
            <w:r>
              <w:rPr>
                <w:rFonts w:hint="eastAsia" w:ascii="仿宋_GB2312" w:hAnsi="仿宋_GB2312" w:eastAsia="仿宋_GB2312" w:cs="仿宋_GB2312"/>
                <w:sz w:val="21"/>
                <w:szCs w:val="21"/>
                <w:lang w:eastAsia="zh-Hans"/>
              </w:rPr>
              <w:t>）</w:t>
            </w:r>
            <w:r>
              <w:rPr>
                <w:rFonts w:hint="default" w:ascii="仿宋_GB2312" w:hAnsi="仿宋_GB2312" w:eastAsia="仿宋_GB2312" w:cs="仿宋_GB2312"/>
                <w:sz w:val="21"/>
                <w:szCs w:val="21"/>
                <w:lang w:val="en-US" w:eastAsia="zh-Hans"/>
              </w:rPr>
              <w:t>202</w:t>
            </w:r>
            <w:r>
              <w:rPr>
                <w:rFonts w:hint="eastAsia" w:hAnsi="仿宋_GB2312" w:cs="仿宋_GB2312"/>
                <w:sz w:val="21"/>
                <w:szCs w:val="21"/>
                <w:lang w:val="en-US" w:eastAsia="zh-CN"/>
              </w:rPr>
              <w:t>5</w:t>
            </w:r>
            <w:r>
              <w:rPr>
                <w:rFonts w:hint="default" w:ascii="仿宋_GB2312" w:hAnsi="仿宋_GB2312" w:eastAsia="仿宋_GB2312" w:cs="仿宋_GB2312"/>
                <w:sz w:val="21"/>
                <w:szCs w:val="21"/>
                <w:lang w:val="en-US" w:eastAsia="zh-Hans"/>
              </w:rPr>
              <w:t>年1月1日前在</w:t>
            </w:r>
            <w:r>
              <w:rPr>
                <w:rFonts w:hint="eastAsia" w:ascii="仿宋_GB2312" w:hAnsi="仿宋_GB2312" w:eastAsia="仿宋_GB2312" w:cs="仿宋_GB2312"/>
                <w:sz w:val="21"/>
                <w:szCs w:val="21"/>
                <w:lang w:val="en-US" w:eastAsia="zh-CN"/>
              </w:rPr>
              <w:t>粤</w:t>
            </w:r>
            <w:r>
              <w:rPr>
                <w:rFonts w:hint="default" w:ascii="仿宋_GB2312" w:hAnsi="仿宋_GB2312" w:eastAsia="仿宋_GB2312" w:cs="仿宋_GB2312"/>
                <w:sz w:val="21"/>
                <w:szCs w:val="21"/>
                <w:lang w:val="en-US" w:eastAsia="zh-Hans"/>
              </w:rPr>
              <w:t>全职工作</w:t>
            </w:r>
            <w:r>
              <w:rPr>
                <w:rFonts w:hint="eastAsia" w:ascii="仿宋_GB2312" w:hAnsi="仿宋_GB2312" w:eastAsia="仿宋_GB2312" w:cs="仿宋_GB2312"/>
                <w:sz w:val="21"/>
                <w:szCs w:val="21"/>
                <w:lang w:val="en-US" w:eastAsia="zh-CN"/>
              </w:rPr>
              <w:t>，</w:t>
            </w:r>
            <w:r>
              <w:rPr>
                <w:rFonts w:hint="default" w:ascii="仿宋_GB2312" w:hAnsi="仿宋_GB2312" w:eastAsia="仿宋_GB2312" w:cs="仿宋_GB2312"/>
                <w:sz w:val="21"/>
                <w:szCs w:val="21"/>
                <w:lang w:val="en-US" w:eastAsia="zh-Hans"/>
              </w:rPr>
              <w:t>入选后全职在校工作3年以上。</w:t>
            </w:r>
          </w:p>
          <w:p w14:paraId="414CA843">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eastAsia" w:ascii="仿宋_GB2312" w:hAnsi="仿宋_GB2312" w:eastAsia="仿宋_GB2312" w:cs="仿宋_GB2312"/>
                <w:sz w:val="21"/>
                <w:szCs w:val="21"/>
                <w:lang w:val="en-US" w:eastAsia="zh-Hans"/>
              </w:rPr>
              <w:t>拥护中华人民共和国宪法，遵守国家法律法规，不得反对中国共产党的领导和中国特色社会主义制度，品行端正，严守科研诚信</w:t>
            </w:r>
            <w:r>
              <w:rPr>
                <w:rFonts w:hint="default" w:ascii="仿宋_GB2312" w:hAnsi="仿宋_GB2312" w:eastAsia="仿宋_GB2312" w:cs="仿宋_GB2312"/>
                <w:sz w:val="21"/>
                <w:szCs w:val="21"/>
                <w:lang w:val="en-US" w:eastAsia="zh-Hans"/>
              </w:rPr>
              <w:t>。</w:t>
            </w:r>
          </w:p>
          <w:p w14:paraId="34AA5832">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val="en-US" w:eastAsia="zh-Hans"/>
              </w:rPr>
              <w:t>具有高尚的道德情操，恪守高校教师师德行为规范、学术道德规范等职业道德规范，学风严谨，为人正派，做“四有”好老师。</w:t>
            </w:r>
          </w:p>
          <w:p w14:paraId="7B9BCE0F">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eastAsia" w:ascii="仿宋_GB2312" w:hAnsi="仿宋_GB2312" w:eastAsia="仿宋_GB2312" w:cs="仿宋_GB2312"/>
                <w:sz w:val="21"/>
                <w:szCs w:val="21"/>
                <w:lang w:val="en-US" w:eastAsia="zh-CN"/>
              </w:rPr>
              <w:t>年龄</w:t>
            </w:r>
            <w:r>
              <w:rPr>
                <w:rFonts w:hint="default" w:ascii="仿宋_GB2312" w:hAnsi="仿宋_GB2312" w:eastAsia="仿宋_GB2312" w:cs="仿宋_GB2312"/>
                <w:sz w:val="21"/>
                <w:szCs w:val="21"/>
                <w:lang w:val="en-US" w:eastAsia="zh-Hans"/>
              </w:rPr>
              <w:t>不超过45周岁(</w:t>
            </w:r>
            <w:r>
              <w:rPr>
                <w:rFonts w:hint="eastAsia" w:ascii="仿宋_GB2312" w:hAnsi="仿宋_GB2312" w:eastAsia="仿宋_GB2312" w:cs="仿宋_GB2312"/>
                <w:sz w:val="21"/>
                <w:szCs w:val="21"/>
                <w:lang w:val="en-US" w:eastAsia="zh-CN"/>
              </w:rPr>
              <w:t>出生年月在</w:t>
            </w:r>
            <w:r>
              <w:rPr>
                <w:rFonts w:hint="default" w:ascii="仿宋_GB2312" w:hAnsi="仿宋_GB2312" w:eastAsia="仿宋_GB2312" w:cs="仿宋_GB2312"/>
                <w:sz w:val="21"/>
                <w:szCs w:val="21"/>
                <w:lang w:val="en-US" w:eastAsia="zh-Hans"/>
              </w:rPr>
              <w:t>19</w:t>
            </w:r>
            <w:r>
              <w:rPr>
                <w:rFonts w:hint="eastAsia" w:ascii="仿宋_GB2312" w:hAnsi="仿宋_GB2312" w:eastAsia="仿宋_GB2312" w:cs="仿宋_GB2312"/>
                <w:sz w:val="21"/>
                <w:szCs w:val="21"/>
                <w:lang w:val="en-US" w:eastAsia="zh-CN"/>
              </w:rPr>
              <w:t>8</w:t>
            </w:r>
            <w:r>
              <w:rPr>
                <w:rFonts w:hint="eastAsia" w:hAnsi="仿宋_GB2312" w:cs="仿宋_GB2312"/>
                <w:sz w:val="21"/>
                <w:szCs w:val="21"/>
                <w:lang w:val="en-US" w:eastAsia="zh-CN"/>
              </w:rPr>
              <w:t>1</w:t>
            </w:r>
            <w:r>
              <w:rPr>
                <w:rFonts w:hint="default" w:ascii="仿宋_GB2312" w:hAnsi="仿宋_GB2312" w:eastAsia="仿宋_GB2312" w:cs="仿宋_GB2312"/>
                <w:sz w:val="21"/>
                <w:szCs w:val="21"/>
                <w:lang w:val="en-US" w:eastAsia="zh-Hans"/>
              </w:rPr>
              <w:t>年1月1日</w:t>
            </w:r>
            <w:r>
              <w:rPr>
                <w:rFonts w:hint="eastAsia" w:ascii="仿宋_GB2312" w:hAnsi="仿宋_GB2312" w:eastAsia="仿宋_GB2312" w:cs="仿宋_GB2312"/>
                <w:sz w:val="21"/>
                <w:szCs w:val="21"/>
                <w:lang w:val="en-US" w:eastAsia="zh-CN"/>
              </w:rPr>
              <w:t>及</w:t>
            </w:r>
            <w:r>
              <w:rPr>
                <w:rFonts w:hint="default" w:ascii="仿宋_GB2312" w:hAnsi="仿宋_GB2312" w:eastAsia="仿宋_GB2312" w:cs="仿宋_GB2312"/>
                <w:sz w:val="21"/>
                <w:szCs w:val="21"/>
                <w:lang w:val="en-US" w:eastAsia="zh-Hans"/>
              </w:rPr>
              <w:t>以后)</w:t>
            </w:r>
            <w:r>
              <w:rPr>
                <w:rFonts w:hint="eastAsia" w:ascii="仿宋_GB2312" w:hAnsi="仿宋_GB2312" w:eastAsia="仿宋_GB2312" w:cs="仿宋_GB2312"/>
                <w:sz w:val="21"/>
                <w:szCs w:val="21"/>
                <w:lang w:val="en-US" w:eastAsia="zh-Hans"/>
              </w:rPr>
              <w:t>，</w:t>
            </w:r>
            <w:r>
              <w:rPr>
                <w:rFonts w:hint="default" w:ascii="仿宋_GB2312" w:hAnsi="仿宋_GB2312" w:eastAsia="仿宋_GB2312" w:cs="仿宋_GB2312"/>
                <w:sz w:val="21"/>
                <w:szCs w:val="21"/>
                <w:lang w:val="en-US" w:eastAsia="zh-Hans"/>
              </w:rPr>
              <w:t>具有博士学位，担任</w:t>
            </w:r>
            <w:r>
              <w:rPr>
                <w:rFonts w:hint="eastAsia" w:hAnsi="仿宋_GB2312" w:cs="仿宋_GB2312"/>
                <w:sz w:val="21"/>
                <w:szCs w:val="21"/>
                <w:lang w:val="en-US" w:eastAsia="zh-CN"/>
              </w:rPr>
              <w:t>副</w:t>
            </w:r>
            <w:r>
              <w:rPr>
                <w:rFonts w:hint="default" w:ascii="仿宋_GB2312" w:hAnsi="仿宋_GB2312" w:eastAsia="仿宋_GB2312" w:cs="仿宋_GB2312"/>
                <w:sz w:val="21"/>
                <w:szCs w:val="21"/>
                <w:lang w:val="en-US" w:eastAsia="zh-Hans"/>
              </w:rPr>
              <w:t>教授</w:t>
            </w:r>
            <w:r>
              <w:rPr>
                <w:rFonts w:hint="eastAsia" w:hAnsi="仿宋_GB2312" w:cs="仿宋_GB2312"/>
                <w:sz w:val="21"/>
                <w:szCs w:val="21"/>
                <w:lang w:val="en-US" w:eastAsia="zh-CN"/>
              </w:rPr>
              <w:t>以上</w:t>
            </w:r>
            <w:r>
              <w:rPr>
                <w:rFonts w:hint="default" w:ascii="仿宋_GB2312" w:hAnsi="仿宋_GB2312" w:eastAsia="仿宋_GB2312" w:cs="仿宋_GB2312"/>
                <w:sz w:val="21"/>
                <w:szCs w:val="21"/>
                <w:lang w:val="en-US" w:eastAsia="zh-Hans"/>
              </w:rPr>
              <w:t>或相应职务。</w:t>
            </w:r>
            <w:r>
              <w:rPr>
                <w:rFonts w:hint="eastAsia" w:ascii="仿宋_GB2312" w:hAnsi="仿宋_GB2312" w:eastAsia="仿宋_GB2312" w:cs="仿宋_GB2312"/>
                <w:sz w:val="21"/>
                <w:szCs w:val="21"/>
                <w:lang w:val="en-US" w:eastAsia="zh-CN"/>
              </w:rPr>
              <w:t>女性申报者在以上要求上放宽2岁。</w:t>
            </w:r>
          </w:p>
          <w:p w14:paraId="4C4C2CBF">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ascii="仿宋_GB2312" w:hAnsi="Times New Roman" w:eastAsia="仿宋_GB2312" w:cs="Times New Roman"/>
                <w:sz w:val="21"/>
                <w:szCs w:val="21"/>
                <w:lang w:eastAsia="zh-CN"/>
              </w:rPr>
            </w:pPr>
            <w:r>
              <w:rPr>
                <w:rFonts w:hint="default" w:ascii="仿宋_GB2312" w:hAnsi="仿宋_GB2312" w:eastAsia="仿宋_GB2312" w:cs="仿宋_GB2312"/>
                <w:sz w:val="21"/>
                <w:szCs w:val="21"/>
                <w:lang w:val="en-US" w:eastAsia="zh-Hans"/>
              </w:rPr>
              <w:t>在教学、科研、生产实践一线工作，身体健康。</w:t>
            </w:r>
            <w:bookmarkStart w:id="1" w:name="_GoBack"/>
            <w:bookmarkEnd w:id="1"/>
          </w:p>
          <w:p w14:paraId="63229E66">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ascii="仿宋_GB2312" w:hAnsi="Times New Roman" w:eastAsia="仿宋_GB2312" w:cs="Times New Roman"/>
                <w:sz w:val="21"/>
                <w:szCs w:val="21"/>
                <w:lang w:eastAsia="zh-CN"/>
              </w:rPr>
            </w:pPr>
            <w:r>
              <w:rPr>
                <w:rFonts w:hint="eastAsia" w:hAnsi="仿宋_GB2312" w:cs="仿宋_GB2312"/>
                <w:sz w:val="21"/>
                <w:szCs w:val="21"/>
                <w:lang w:val="en-US" w:eastAsia="zh-CN"/>
              </w:rPr>
              <w:t>具有良好的海洋动力学研究基础</w:t>
            </w:r>
            <w:r>
              <w:rPr>
                <w:rFonts w:hint="eastAsia" w:ascii="仿宋_GB2312" w:hAnsi="仿宋_GB2312" w:eastAsia="仿宋_GB2312" w:cs="仿宋_GB2312"/>
                <w:sz w:val="21"/>
                <w:szCs w:val="21"/>
                <w:lang w:val="en-US" w:eastAsia="zh-CN"/>
              </w:rPr>
              <w:t>，</w:t>
            </w:r>
            <w:r>
              <w:rPr>
                <w:rFonts w:hint="eastAsia" w:hAnsi="仿宋_GB2312" w:cs="仿宋_GB2312"/>
                <w:sz w:val="21"/>
                <w:szCs w:val="21"/>
                <w:lang w:val="en-US" w:eastAsia="zh-CN"/>
              </w:rPr>
              <w:t>具有本科教学和研究生培养经验，</w:t>
            </w:r>
            <w:r>
              <w:rPr>
                <w:rFonts w:hint="eastAsia" w:ascii="仿宋_GB2312" w:hAnsi="Times New Roman" w:eastAsia="仿宋_GB2312" w:cs="Times New Roman"/>
                <w:sz w:val="21"/>
                <w:szCs w:val="22"/>
                <w:lang w:eastAsia="zh-CN"/>
              </w:rPr>
              <w:t>每学年讲授1门本科生课程</w:t>
            </w:r>
            <w:r>
              <w:rPr>
                <w:rFonts w:hint="eastAsia" w:ascii="仿宋_GB2312" w:hAnsi="仿宋_GB2312" w:eastAsia="仿宋_GB2312" w:cs="仿宋_GB2312"/>
                <w:sz w:val="21"/>
                <w:szCs w:val="21"/>
                <w:lang w:val="en-US" w:eastAsia="zh-CN"/>
              </w:rPr>
              <w:t>。</w:t>
            </w:r>
          </w:p>
        </w:tc>
      </w:tr>
      <w:bookmarkEnd w:id="0"/>
    </w:tbl>
    <w:p w14:paraId="36AEB16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7111E"/>
    <w:multiLevelType w:val="singleLevel"/>
    <w:tmpl w:val="9B9711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hYzYzNWY3MzE5NTk1MTI1YzE1ODNmYmI2YTNkNjgifQ=="/>
  </w:docVars>
  <w:rsids>
    <w:rsidRoot w:val="58F549A4"/>
    <w:rsid w:val="008E7C76"/>
    <w:rsid w:val="0A757D6B"/>
    <w:rsid w:val="10EC674B"/>
    <w:rsid w:val="1EB33EEA"/>
    <w:rsid w:val="24964FD6"/>
    <w:rsid w:val="2E421B72"/>
    <w:rsid w:val="325B4177"/>
    <w:rsid w:val="347C37A0"/>
    <w:rsid w:val="36F62E46"/>
    <w:rsid w:val="3E0C2040"/>
    <w:rsid w:val="43E066A9"/>
    <w:rsid w:val="47356DBC"/>
    <w:rsid w:val="47D51B0C"/>
    <w:rsid w:val="4D124A4D"/>
    <w:rsid w:val="53203EA2"/>
    <w:rsid w:val="58F549A4"/>
    <w:rsid w:val="5CE626F0"/>
    <w:rsid w:val="60A232CD"/>
    <w:rsid w:val="63132898"/>
    <w:rsid w:val="66A26754"/>
    <w:rsid w:val="671C0ED7"/>
    <w:rsid w:val="68EA39A3"/>
    <w:rsid w:val="76E13D18"/>
    <w:rsid w:val="7C511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99"/>
    <w:pPr>
      <w:spacing w:beforeLines="25" w:afterLines="25" w:line="360" w:lineRule="exact"/>
      <w:jc w:val="center"/>
    </w:pPr>
    <w:rPr>
      <w:rFonts w:ascii="仿宋_GB2312" w:hAnsi="宋体" w:eastAsia="仿宋_GB2312"/>
      <w:color w:val="000000"/>
      <w:kern w:val="44"/>
      <w:sz w:val="32"/>
      <w:szCs w:val="20"/>
    </w:rPr>
  </w:style>
  <w:style w:type="paragraph" w:styleId="3">
    <w:name w:val="footer"/>
    <w:basedOn w:val="1"/>
    <w:autoRedefine/>
    <w:qFormat/>
    <w:uiPriority w:val="0"/>
    <w:pPr>
      <w:tabs>
        <w:tab w:val="center" w:pos="4153"/>
        <w:tab w:val="right" w:pos="8306"/>
      </w:tabs>
      <w:snapToGrid w:val="0"/>
      <w:jc w:val="left"/>
    </w:pPr>
    <w:rPr>
      <w:sz w:val="18"/>
    </w:rPr>
  </w:style>
  <w:style w:type="character" w:styleId="6">
    <w:name w:val="page number"/>
    <w:autoRedefine/>
    <w:qFormat/>
    <w:uiPriority w:val="0"/>
    <w:rPr>
      <w:rFonts w:ascii="宋体" w:hAnsi="宋体" w:eastAsia="宋体"/>
    </w:rPr>
  </w:style>
  <w:style w:type="paragraph" w:customStyle="1" w:styleId="7">
    <w:name w:val="Table Text"/>
    <w:basedOn w:val="1"/>
    <w:autoRedefine/>
    <w:semiHidden/>
    <w:qFormat/>
    <w:uiPriority w:val="0"/>
    <w:rPr>
      <w:rFonts w:ascii="宋体" w:hAnsi="宋体" w:cs="宋体"/>
      <w:sz w:val="27"/>
      <w:szCs w:val="27"/>
      <w:lang w:eastAsia="en-US"/>
    </w:rPr>
  </w:style>
  <w:style w:type="table" w:customStyle="1" w:styleId="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943</Words>
  <Characters>950</Characters>
  <Lines>0</Lines>
  <Paragraphs>0</Paragraphs>
  <TotalTime>0</TotalTime>
  <ScaleCrop>false</ScaleCrop>
  <LinksUpToDate>false</LinksUpToDate>
  <CharactersWithSpaces>959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2025-09-09T08:10:00Z</dcterms:created>
  <dc:creator>lustar</dc:creator>
  <cp:lastModifiedBy>夏儆</cp:lastModifiedBy>
  <cp:lastPrinted>2025-09-12T11:26:00Z</cp:lastPrinted>
  <dcterms:modified xsi:type="dcterms:W3CDTF">2026-09-08T08:26:29Z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E62B7327D0F84BE7BEDF538EC5A196D2_13</vt:lpwstr>
  </property>
  <property fmtid="{D5CDD505-2E9C-101B-9397-08002B2CF9AE}" pid="4" name="KSOTemplateDocerSaveRecord">
    <vt:lpwstr>eyJoZGlkIjoiODVhYzYzNWY3MzE5NTk1MTI1YzE1ODNmYmI2YTNkNjgiLCJ1c2VySWQiOiIxNjI3MTAxOTMzIn0=</vt:lpwstr>
  </property>
</Properties>
</file>