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285D9">
      <w:pPr>
        <w:spacing w:line="560" w:lineRule="exact"/>
        <w:jc w:val="center"/>
        <w:rPr>
          <w:rFonts w:eastAsia="黑体"/>
          <w:b/>
          <w:bCs/>
          <w:sz w:val="32"/>
          <w:szCs w:val="32"/>
          <w:lang w:eastAsia="zh-CN"/>
        </w:rPr>
      </w:pPr>
      <w:r>
        <w:rPr>
          <w:rFonts w:eastAsia="黑体"/>
          <w:b/>
          <w:bCs/>
          <w:sz w:val="32"/>
          <w:szCs w:val="32"/>
        </w:rPr>
        <w:t>榜单任务</w:t>
      </w:r>
      <w:r>
        <w:rPr>
          <w:rFonts w:eastAsia="黑体"/>
          <w:b/>
          <w:bCs/>
          <w:sz w:val="32"/>
          <w:szCs w:val="32"/>
          <w:lang w:eastAsia="zh-CN"/>
        </w:rPr>
        <w:t>表</w:t>
      </w:r>
    </w:p>
    <w:p w14:paraId="60A57D78">
      <w:pPr>
        <w:spacing w:line="106" w:lineRule="exact"/>
      </w:pPr>
    </w:p>
    <w:tbl>
      <w:tblPr>
        <w:tblStyle w:val="8"/>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2"/>
        <w:gridCol w:w="7147"/>
        <w:gridCol w:w="10"/>
      </w:tblGrid>
      <w:tr w14:paraId="63B22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609" w:hRule="atLeast"/>
        </w:trPr>
        <w:tc>
          <w:tcPr>
            <w:tcW w:w="1982" w:type="dxa"/>
          </w:tcPr>
          <w:p w14:paraId="47CB41CE">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榜单名称</w:t>
            </w:r>
          </w:p>
        </w:tc>
        <w:tc>
          <w:tcPr>
            <w:tcW w:w="7147" w:type="dxa"/>
            <w:vAlign w:val="center"/>
          </w:tcPr>
          <w:p w14:paraId="5BA8542D">
            <w:pPr>
              <w:widowControl/>
              <w:kinsoku w:val="0"/>
              <w:snapToGrid w:val="0"/>
              <w:spacing w:line="400" w:lineRule="exact"/>
              <w:jc w:val="center"/>
              <w:rPr>
                <w:rFonts w:eastAsia="仿宋_GB2312"/>
                <w:szCs w:val="24"/>
                <w:lang w:eastAsia="zh-CN"/>
              </w:rPr>
            </w:pPr>
            <w:bookmarkStart w:id="0" w:name="OLE_LINK1"/>
            <w:r>
              <w:rPr>
                <w:rFonts w:eastAsia="仿宋_GB2312"/>
                <w:szCs w:val="24"/>
                <w:lang w:eastAsia="zh-CN"/>
              </w:rPr>
              <w:t>动物遗传育种与繁殖岗位</w:t>
            </w:r>
            <w:bookmarkEnd w:id="0"/>
          </w:p>
        </w:tc>
      </w:tr>
      <w:tr w14:paraId="6ECA0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540" w:hRule="atLeast"/>
        </w:trPr>
        <w:tc>
          <w:tcPr>
            <w:tcW w:w="1982" w:type="dxa"/>
            <w:vAlign w:val="center"/>
          </w:tcPr>
          <w:p w14:paraId="43D344E5">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聘任类型</w:t>
            </w:r>
          </w:p>
        </w:tc>
        <w:tc>
          <w:tcPr>
            <w:tcW w:w="7147" w:type="dxa"/>
            <w:vAlign w:val="center"/>
          </w:tcPr>
          <w:p w14:paraId="1B06CBED">
            <w:pPr>
              <w:pStyle w:val="7"/>
              <w:widowControl/>
              <w:kinsoku w:val="0"/>
              <w:snapToGrid w:val="0"/>
              <w:spacing w:line="400" w:lineRule="exact"/>
              <w:ind w:left="692"/>
              <w:rPr>
                <w:rFonts w:ascii="Times New Roman" w:hAnsi="Times New Roman" w:eastAsia="仿宋_GB2312" w:cs="Times New Roman"/>
                <w:sz w:val="22"/>
                <w:szCs w:val="24"/>
                <w:lang w:eastAsia="zh-CN"/>
              </w:rPr>
            </w:pPr>
            <w:r>
              <w:rPr>
                <w:rFonts w:ascii="Times New Roman" w:hAnsi="Times New Roman" w:eastAsia="仿宋_GB2312" w:cs="Times New Roman"/>
                <w:sz w:val="22"/>
                <w:szCs w:val="24"/>
                <w:lang w:eastAsia="zh-CN"/>
              </w:rPr>
              <w:t xml:space="preserve">□特聘教授   </w:t>
            </w:r>
            <w:r>
              <w:rPr>
                <w:rFonts w:ascii="Times New Roman" w:hAnsi="Times New Roman" w:eastAsia="仿宋_GB2312" w:cs="Times New Roman"/>
                <w:sz w:val="22"/>
                <w:szCs w:val="24"/>
                <w:lang w:eastAsia="zh-CN"/>
              </w:rPr>
              <w:sym w:font="Wingdings 2" w:char="F052"/>
            </w:r>
            <w:r>
              <w:rPr>
                <w:rFonts w:ascii="Times New Roman" w:hAnsi="Times New Roman" w:eastAsia="仿宋_GB2312" w:cs="Times New Roman"/>
                <w:sz w:val="22"/>
                <w:szCs w:val="24"/>
                <w:lang w:eastAsia="zh-CN"/>
              </w:rPr>
              <w:t>青年学者</w:t>
            </w:r>
          </w:p>
        </w:tc>
      </w:tr>
      <w:tr w14:paraId="7F7BD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1345" w:hRule="atLeast"/>
        </w:trPr>
        <w:tc>
          <w:tcPr>
            <w:tcW w:w="1982" w:type="dxa"/>
            <w:vAlign w:val="center"/>
          </w:tcPr>
          <w:p w14:paraId="57B71809">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榜单背景</w:t>
            </w:r>
          </w:p>
        </w:tc>
        <w:tc>
          <w:tcPr>
            <w:tcW w:w="7147" w:type="dxa"/>
          </w:tcPr>
          <w:p w14:paraId="1FF872EB">
            <w:pPr>
              <w:pStyle w:val="7"/>
              <w:keepNext w:val="0"/>
              <w:keepLines w:val="0"/>
              <w:pageBreakBefore w:val="0"/>
              <w:widowControl/>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粤西地处热带亚热带沿海区域，是广东省重要的畜牧业生产基地和地方畜禽遗传资源富集区，拥有怀乡鸡、粤西卷羽鸡等具有鲜明区域特色的地方畜禽遗传资源。经过长期自然选择和人工选育，粤西地方畜禽形成了较强的耐热、抗逆、适应粗饲以及优良肉品质等特征，是广东省地方畜禽种质资源保护、开发利用和新品种培育的重要</w:t>
            </w:r>
            <w:r>
              <w:rPr>
                <w:rFonts w:hint="eastAsia" w:ascii="Times New Roman" w:hAnsi="Times New Roman" w:eastAsia="仿宋_GB2312" w:cs="Times New Roman"/>
                <w:sz w:val="21"/>
                <w:szCs w:val="21"/>
                <w:lang w:eastAsia="zh-CN"/>
              </w:rPr>
              <w:t>资源</w:t>
            </w:r>
            <w:r>
              <w:rPr>
                <w:rFonts w:ascii="Times New Roman" w:hAnsi="Times New Roman" w:eastAsia="仿宋_GB2312" w:cs="Times New Roman"/>
                <w:sz w:val="21"/>
                <w:szCs w:val="21"/>
                <w:lang w:eastAsia="zh-CN"/>
              </w:rPr>
              <w:t>基础。</w:t>
            </w:r>
          </w:p>
          <w:p w14:paraId="2DC34C8A">
            <w:pPr>
              <w:pStyle w:val="7"/>
              <w:keepNext w:val="0"/>
              <w:keepLines w:val="0"/>
              <w:pageBreakBefore w:val="0"/>
              <w:widowControl/>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在全球气候变化和畜禽生产集约化背景下，高温高湿环境已成为制约华南地区畜禽健康、高效和优质生产的重要环境因素。目前，粤西地方畜禽耐热、抗逆、肠道健康及优质肉品质等重要性状的形成机制及调控路径尚未得到系统解析，遗传背景、环境因素与营养调控之间的互作关系仍不清晰，部分地方品种还存在优良种质特征挖掘不充分、精准评价体系不完善、特色性状开发利用不足等问题。</w:t>
            </w:r>
          </w:p>
          <w:p w14:paraId="2621F334">
            <w:pPr>
              <w:pStyle w:val="7"/>
              <w:keepNext w:val="0"/>
              <w:keepLines w:val="0"/>
              <w:pageBreakBefore w:val="0"/>
              <w:widowControl/>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因此，有必要依托广东海洋大学热带滨海区域特色及畜牧学学科基础，以粤西地方畜禽遗传资源特别是地方鸡种质资源为主要对象，围绕耐热适应性、肠道健康和优质肉品质等重要经济性状，开展“种质资源评价—优良表型解析—功能基因与调控网络挖掘—品种×环境×营养互作—种质创新与健康养殖”研究，为粤西地方畜禽种质资源开发利用、优质高效生产及广东现代畜禽种业发展提供理论基础和技术支撑。</w:t>
            </w:r>
          </w:p>
        </w:tc>
      </w:tr>
      <w:tr w14:paraId="44FB4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1982" w:type="dxa"/>
            <w:vAlign w:val="center"/>
          </w:tcPr>
          <w:p w14:paraId="4CA27E0D">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需求目标</w:t>
            </w:r>
          </w:p>
        </w:tc>
        <w:tc>
          <w:tcPr>
            <w:tcW w:w="7157" w:type="dxa"/>
            <w:gridSpan w:val="2"/>
          </w:tcPr>
          <w:p w14:paraId="30F99CDD">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本岗位面向国家种业振兴战略和广东省现代畜牧产业发展需求，结合广东海洋大学热带、滨海和海洋生物资源特色，重点开展粤西地方畜禽重要经济性状形成</w:t>
            </w:r>
            <w:r>
              <w:rPr>
                <w:rFonts w:hint="eastAsia" w:ascii="Times New Roman" w:hAnsi="Times New Roman" w:eastAsia="仿宋_GB2312" w:cs="Times New Roman"/>
                <w:sz w:val="21"/>
                <w:szCs w:val="21"/>
                <w:lang w:eastAsia="zh-CN"/>
              </w:rPr>
              <w:t>的分子基础</w:t>
            </w:r>
            <w:r>
              <w:rPr>
                <w:rFonts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eastAsia="zh-CN"/>
              </w:rPr>
              <w:t>精准调控机制</w:t>
            </w:r>
            <w:r>
              <w:rPr>
                <w:rFonts w:ascii="Times New Roman" w:hAnsi="Times New Roman" w:eastAsia="仿宋_GB2312" w:cs="Times New Roman"/>
                <w:sz w:val="21"/>
                <w:szCs w:val="21"/>
                <w:lang w:eastAsia="zh-CN"/>
              </w:rPr>
              <w:t>及健康养殖研究。</w:t>
            </w:r>
          </w:p>
          <w:p w14:paraId="10CA8920">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以粤西地方鸡种质资源为重点研究对象，以高温高湿环境下地方鸡耐热性、生产性能、肠道健康和肉品质等重要性状为切入点，综合运用表型测定、转录组、代谢组、微生物组以及分子生物学等技术，解析重要性状形成的分子基础和调控机制。在此基础上，进一步开展基因型—环境—营养（G×E×N）互作研究。围绕动物遗传育种与繁殖学科建设需求，将热带滨海畜牧业、地方畜禽遗传资源、动物环境适应性、</w:t>
            </w:r>
            <w:r>
              <w:rPr>
                <w:rFonts w:hint="eastAsia" w:ascii="Times New Roman" w:hAnsi="Times New Roman" w:eastAsia="仿宋_GB2312" w:cs="Times New Roman"/>
                <w:sz w:val="21"/>
                <w:szCs w:val="21"/>
                <w:lang w:eastAsia="zh-CN"/>
              </w:rPr>
              <w:t>精准调控</w:t>
            </w:r>
            <w:r>
              <w:rPr>
                <w:rFonts w:ascii="Times New Roman" w:hAnsi="Times New Roman" w:eastAsia="仿宋_GB2312" w:cs="Times New Roman"/>
                <w:sz w:val="21"/>
                <w:szCs w:val="21"/>
                <w:lang w:eastAsia="zh-CN"/>
              </w:rPr>
              <w:t>等内容融入本科及研究生课程教学，推进科教融汇和产教融合，提升动物遗传育种与繁殖学科人才培养质量和学科影响力。</w:t>
            </w:r>
          </w:p>
        </w:tc>
      </w:tr>
      <w:tr w14:paraId="2D83E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7" w:hRule="atLeast"/>
        </w:trPr>
        <w:tc>
          <w:tcPr>
            <w:tcW w:w="1982" w:type="dxa"/>
            <w:vAlign w:val="center"/>
          </w:tcPr>
          <w:p w14:paraId="75DDD1B6">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任务核心指标</w:t>
            </w:r>
          </w:p>
        </w:tc>
        <w:tc>
          <w:tcPr>
            <w:tcW w:w="7157" w:type="dxa"/>
            <w:gridSpan w:val="2"/>
          </w:tcPr>
          <w:p w14:paraId="0DFC4B35">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（1）教育教学</w:t>
            </w:r>
          </w:p>
          <w:p w14:paraId="34A757EB">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落实立德树人根本任务，聘期内每学年至少主讲1门动物科学、畜牧学相关本科生专业课程，承担本科生、研究生人才培养任务，指导硕士研究生开展科学研究。结合粤西热带滨海畜牧业和地方畜禽种质资源特色，将动物遗传资源、动物环境适应性、健康养殖等科研成果融入课程教学，开展课程内容建设和教学改革，推动形成具有热带滨海特色的畜牧人才培养体系。</w:t>
            </w:r>
          </w:p>
          <w:p w14:paraId="12E4A193">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（2）科学研究</w:t>
            </w:r>
          </w:p>
          <w:p w14:paraId="12D72A64">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以粤西地方畜禽遗传资源为对象，重点以地方鸡种为主要研究载体，围绕地方鸡耐热性、肠道稳健性、生长性能和肉品质等重要经济性状开展研究。综合利用转录组、代谢组、肠道微生物组以及分子生物学等技术，解析地方鸡耐热、抗逆、肠道健康和优质肉品质等性状形成的分子基础，筛选重要候选功能基因和关键调控通路。进一步开展地方鸡不同遗传背景与高温高湿环境之间的互作研究，形成粤西地方鸡耐热和优质性状评价及</w:t>
            </w:r>
            <w:r>
              <w:rPr>
                <w:rFonts w:hint="eastAsia" w:ascii="Times New Roman" w:hAnsi="Times New Roman" w:eastAsia="仿宋_GB2312" w:cs="Times New Roman"/>
                <w:sz w:val="21"/>
                <w:szCs w:val="21"/>
                <w:lang w:eastAsia="zh-CN"/>
              </w:rPr>
              <w:t>优质高效生产</w:t>
            </w:r>
            <w:r>
              <w:rPr>
                <w:rFonts w:ascii="Times New Roman" w:hAnsi="Times New Roman" w:eastAsia="仿宋_GB2312" w:cs="Times New Roman"/>
                <w:sz w:val="21"/>
                <w:szCs w:val="21"/>
                <w:lang w:eastAsia="zh-CN"/>
              </w:rPr>
              <w:t>技术</w:t>
            </w:r>
            <w:r>
              <w:rPr>
                <w:rFonts w:hint="eastAsia" w:ascii="Times New Roman" w:hAnsi="Times New Roman" w:eastAsia="仿宋_GB2312" w:cs="Times New Roman"/>
                <w:sz w:val="21"/>
                <w:szCs w:val="21"/>
                <w:lang w:eastAsia="zh-CN"/>
              </w:rPr>
              <w:t>体系</w:t>
            </w:r>
            <w:r>
              <w:rPr>
                <w:rFonts w:ascii="Times New Roman" w:hAnsi="Times New Roman" w:eastAsia="仿宋_GB2312" w:cs="Times New Roman"/>
                <w:sz w:val="21"/>
                <w:szCs w:val="21"/>
                <w:lang w:eastAsia="zh-CN"/>
              </w:rPr>
              <w:t>。</w:t>
            </w:r>
          </w:p>
          <w:p w14:paraId="0AA20376">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（3）学科建设</w:t>
            </w:r>
          </w:p>
          <w:p w14:paraId="59C31EDD">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积极参与动物遗传育种与繁殖学科建设，围绕粤西地方畜禽遗传资源保护利用、动物环境适应性和优质高效生产，凝练具有热带滨海区域特色的研究方向。加强与校内动物遗传育种、动物营养、动物健康及智慧养殖等团队之间的交叉合作，推动形成多学科协同创新研究体系。积极开展国内外学术交流与科研合作，建设具有较强创新能力的科研团队，提高动物遗传育种与繁殖学科在国内外相关领域的学术影响力。</w:t>
            </w:r>
          </w:p>
        </w:tc>
      </w:tr>
      <w:tr w14:paraId="2AAA2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7" w:hRule="atLeast"/>
        </w:trPr>
        <w:tc>
          <w:tcPr>
            <w:tcW w:w="1982" w:type="dxa"/>
            <w:vAlign w:val="center"/>
          </w:tcPr>
          <w:p w14:paraId="381835D9">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预期效益</w:t>
            </w:r>
          </w:p>
        </w:tc>
        <w:tc>
          <w:tcPr>
            <w:tcW w:w="7157" w:type="dxa"/>
            <w:gridSpan w:val="2"/>
          </w:tcPr>
          <w:p w14:paraId="144A4340">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（1）教育教学</w:t>
            </w:r>
          </w:p>
          <w:p w14:paraId="264B4635">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聘期内，每学年至少主讲1门畜牧学</w:t>
            </w:r>
            <w:r>
              <w:rPr>
                <w:rFonts w:hint="eastAsia" w:ascii="Times New Roman" w:hAnsi="Times New Roman" w:eastAsia="仿宋_GB2312" w:cs="Times New Roman"/>
                <w:sz w:val="21"/>
                <w:szCs w:val="21"/>
                <w:lang w:val="en-US" w:eastAsia="zh-CN"/>
              </w:rPr>
              <w:t>本科生</w:t>
            </w:r>
            <w:r>
              <w:rPr>
                <w:rFonts w:ascii="Times New Roman" w:hAnsi="Times New Roman" w:eastAsia="仿宋_GB2312" w:cs="Times New Roman"/>
                <w:sz w:val="21"/>
                <w:szCs w:val="21"/>
                <w:lang w:eastAsia="zh-CN"/>
              </w:rPr>
              <w:t>专业课程；指导硕士研究生不少于2名，积极指导本科生开展毕业论文、大学生创新创业项目及学科竞赛。结合热带滨海农业、地方畜禽遗传资源、动物环境适应性与营养健康等研究特色，开展课程建设和教学改革。主持或参与省级以上教学质量工程、课程建设或教学改革项目1项以上，或发表教学研究论文1</w:t>
            </w:r>
            <w:r>
              <w:rPr>
                <w:rFonts w:hint="eastAsia" w:ascii="Times New Roman" w:hAnsi="Times New Roman" w:eastAsia="仿宋_GB2312" w:cs="Times New Roman"/>
                <w:sz w:val="21"/>
                <w:szCs w:val="21"/>
                <w:lang w:val="en-US" w:eastAsia="zh-CN"/>
              </w:rPr>
              <w:t>-</w:t>
            </w:r>
            <w:r>
              <w:rPr>
                <w:rFonts w:ascii="Times New Roman" w:hAnsi="Times New Roman" w:eastAsia="仿宋_GB2312" w:cs="Times New Roman"/>
                <w:sz w:val="21"/>
                <w:szCs w:val="21"/>
                <w:lang w:eastAsia="zh-CN"/>
              </w:rPr>
              <w:t>2篇，形成具有热带滨海特色的课程教学内容或教学案例。</w:t>
            </w:r>
          </w:p>
          <w:p w14:paraId="30D132BA">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（2）科学研究</w:t>
            </w:r>
          </w:p>
          <w:p w14:paraId="1157392E">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聘期内以粤西地方鸡为主要对象，系统开展高温高湿条件下生长性能、耐热性、肠道健康和肉品质等重要性状评价。围绕耐热、抗逆、肠道稳健性及肉品质等性状，筛选具有潜在育种利用价值的候选功能基因、关键调控因子或分子标志物。围绕地方鸡重要经济性状，形成品种/基因型×环境×营养协同调控研究体系，构建1套适用于华南高温高湿环境的地方鸡优质高效生产技术体系。</w:t>
            </w:r>
          </w:p>
          <w:p w14:paraId="743A90FB">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主持国家自然科学基金1项以上，以第一作者或通讯作者发表高水平学术论文3—5篇。加强与粤西地方畜禽保种场、种禽企业、饲料企业等合作，推动研究成果在地方畜禽种质评价和优质高效生产中的示范应用。</w:t>
            </w:r>
          </w:p>
          <w:p w14:paraId="05D8F02A">
            <w:pPr>
              <w:pStyle w:val="7"/>
              <w:keepNext w:val="0"/>
              <w:keepLines w:val="0"/>
              <w:pageBreakBefore w:val="0"/>
              <w:kinsoku w:val="0"/>
              <w:wordWrap/>
              <w:overflowPunct/>
              <w:topLinePunct w:val="0"/>
              <w:autoSpaceDE w:val="0"/>
              <w:autoSpaceDN w:val="0"/>
              <w:bidi w:val="0"/>
              <w:adjustRightInd/>
              <w:snapToGrid w:val="0"/>
              <w:spacing w:line="300" w:lineRule="exact"/>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（4）学科贡献</w:t>
            </w:r>
          </w:p>
          <w:p w14:paraId="13D698A1">
            <w:pPr>
              <w:pStyle w:val="7"/>
              <w:keepNext w:val="0"/>
              <w:keepLines w:val="0"/>
              <w:pageBreakBefore w:val="0"/>
              <w:kinsoku w:val="0"/>
              <w:wordWrap/>
              <w:overflowPunct/>
              <w:topLinePunct w:val="0"/>
              <w:autoSpaceDE w:val="0"/>
              <w:autoSpaceDN w:val="0"/>
              <w:bidi w:val="0"/>
              <w:adjustRightInd/>
              <w:snapToGrid w:val="0"/>
              <w:spacing w:line="300" w:lineRule="exact"/>
              <w:ind w:firstLine="420" w:firstLineChars="20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建设一支具有一定影响力的动物遗传资源保护利用与环境适应性研究团队。积极参与动物遗传育种与繁殖学位点、科研平台、人才团队和重大项目建设，提升动物遗传育种与繁殖学科建设水平。</w:t>
            </w:r>
          </w:p>
        </w:tc>
      </w:tr>
      <w:tr w14:paraId="293BC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82" w:type="dxa"/>
            <w:vAlign w:val="center"/>
          </w:tcPr>
          <w:p w14:paraId="5CB30532">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时限要求</w:t>
            </w:r>
          </w:p>
        </w:tc>
        <w:tc>
          <w:tcPr>
            <w:tcW w:w="7157" w:type="dxa"/>
            <w:gridSpan w:val="2"/>
            <w:vAlign w:val="center"/>
          </w:tcPr>
          <w:p w14:paraId="5ADB46E6">
            <w:pPr>
              <w:pStyle w:val="7"/>
              <w:keepNext w:val="0"/>
              <w:keepLines w:val="0"/>
              <w:pageBreakBefore w:val="0"/>
              <w:widowControl/>
              <w:kinsoku w:val="0"/>
              <w:wordWrap/>
              <w:overflowPunct/>
              <w:topLinePunct w:val="0"/>
              <w:autoSpaceDE w:val="0"/>
              <w:autoSpaceDN w:val="0"/>
              <w:bidi w:val="0"/>
              <w:adjustRightInd/>
              <w:snapToGrid w:val="0"/>
              <w:spacing w:line="300" w:lineRule="exact"/>
              <w:ind w:left="252"/>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本项目预计实施期限3年。</w:t>
            </w:r>
          </w:p>
        </w:tc>
      </w:tr>
      <w:tr w14:paraId="6370C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4" w:hRule="atLeast"/>
        </w:trPr>
        <w:tc>
          <w:tcPr>
            <w:tcW w:w="1982" w:type="dxa"/>
            <w:vAlign w:val="center"/>
          </w:tcPr>
          <w:p w14:paraId="75AB8608">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揭榜对象</w:t>
            </w:r>
          </w:p>
          <w:p w14:paraId="5041D186">
            <w:pPr>
              <w:pStyle w:val="7"/>
              <w:widowControl/>
              <w:kinsoku w:val="0"/>
              <w:snapToGrid w:val="0"/>
              <w:spacing w:line="400" w:lineRule="exact"/>
              <w:jc w:val="center"/>
              <w:rPr>
                <w:rFonts w:ascii="Times New Roman" w:hAnsi="Times New Roman" w:eastAsia="黑体" w:cs="Times New Roman"/>
                <w:color w:val="000000"/>
                <w:sz w:val="24"/>
                <w:szCs w:val="24"/>
                <w:lang w:eastAsia="zh-CN"/>
              </w:rPr>
            </w:pPr>
            <w:r>
              <w:rPr>
                <w:rFonts w:ascii="Times New Roman" w:hAnsi="Times New Roman" w:eastAsia="黑体" w:cs="Times New Roman"/>
                <w:color w:val="000000"/>
                <w:sz w:val="24"/>
                <w:szCs w:val="24"/>
                <w:lang w:eastAsia="zh-CN"/>
              </w:rPr>
              <w:t>条件要求</w:t>
            </w:r>
          </w:p>
        </w:tc>
        <w:tc>
          <w:tcPr>
            <w:tcW w:w="7157" w:type="dxa"/>
            <w:gridSpan w:val="2"/>
          </w:tcPr>
          <w:p w14:paraId="67851397">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（1）坚持中国特色社会主义方向，拥护党的理论和路线方针政策，遵守国家法律法规，具有较强的事业心、责任感和良好的学术道德，学风严谨，为人正派，师德师风良好。</w:t>
            </w:r>
          </w:p>
          <w:p w14:paraId="70E018DC">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（2）在教学科研一线工作，身体健康，能够全职承担岗位工作。</w:t>
            </w:r>
          </w:p>
          <w:p w14:paraId="44E9A846">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（3）符合当年度本岗位关于年龄、工作年限、学历学位及聘任年限等相关申报条件，具有博士学位。</w:t>
            </w:r>
          </w:p>
          <w:p w14:paraId="53CEFD75">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（4）近5年承担</w:t>
            </w:r>
            <w:r>
              <w:rPr>
                <w:rFonts w:hint="eastAsia" w:ascii="Times New Roman" w:hAnsi="Times New Roman" w:eastAsia="仿宋_GB2312" w:cs="Times New Roman"/>
                <w:sz w:val="21"/>
                <w:szCs w:val="21"/>
                <w:lang w:eastAsia="zh-CN"/>
              </w:rPr>
              <w:t>过</w:t>
            </w:r>
            <w:r>
              <w:rPr>
                <w:rFonts w:ascii="Times New Roman" w:hAnsi="Times New Roman" w:eastAsia="仿宋_GB2312" w:cs="Times New Roman"/>
                <w:sz w:val="21"/>
                <w:szCs w:val="21"/>
                <w:lang w:eastAsia="zh-CN"/>
              </w:rPr>
              <w:t>本科生或研究生教学任务，</w:t>
            </w:r>
            <w:r>
              <w:rPr>
                <w:rFonts w:hint="eastAsia" w:ascii="仿宋_GB2312" w:hAnsi="Times New Roman" w:eastAsia="仿宋_GB2312" w:cs="Times New Roman"/>
                <w:sz w:val="21"/>
                <w:szCs w:val="22"/>
                <w:lang w:eastAsia="zh-CN"/>
              </w:rPr>
              <w:t>每学年讲授1门本科生</w:t>
            </w:r>
            <w:r>
              <w:rPr>
                <w:rFonts w:ascii="Times New Roman" w:hAnsi="Times New Roman" w:eastAsia="仿宋_GB2312" w:cs="Times New Roman"/>
                <w:sz w:val="21"/>
                <w:szCs w:val="21"/>
                <w:lang w:eastAsia="zh-CN"/>
              </w:rPr>
              <w:t>动物科学、畜牧学相关专业课程；具有课程建设、教学改革或人才培养工作基础。</w:t>
            </w:r>
          </w:p>
          <w:p w14:paraId="58BC1736">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（5）在畜禽遗传资源</w:t>
            </w:r>
            <w:r>
              <w:rPr>
                <w:rFonts w:hint="eastAsia" w:ascii="Times New Roman" w:hAnsi="Times New Roman" w:eastAsia="仿宋_GB2312" w:cs="Times New Roman"/>
                <w:sz w:val="21"/>
                <w:szCs w:val="21"/>
                <w:lang w:eastAsia="zh-CN"/>
              </w:rPr>
              <w:t>、家畜</w:t>
            </w:r>
            <w:r>
              <w:rPr>
                <w:rFonts w:ascii="Times New Roman" w:hAnsi="Times New Roman" w:eastAsia="仿宋_GB2312" w:cs="Times New Roman"/>
                <w:sz w:val="21"/>
                <w:szCs w:val="21"/>
                <w:lang w:eastAsia="zh-CN"/>
              </w:rPr>
              <w:t>环境卫生</w:t>
            </w:r>
            <w:r>
              <w:rPr>
                <w:rFonts w:hint="eastAsia" w:ascii="Times New Roman" w:hAnsi="Times New Roman" w:eastAsia="仿宋_GB2312" w:cs="Times New Roman"/>
                <w:sz w:val="21"/>
                <w:szCs w:val="21"/>
                <w:lang w:eastAsia="zh-CN"/>
              </w:rPr>
              <w:t>、精准调控</w:t>
            </w:r>
            <w:r>
              <w:rPr>
                <w:rFonts w:ascii="Times New Roman" w:hAnsi="Times New Roman" w:eastAsia="仿宋_GB2312" w:cs="Times New Roman"/>
                <w:sz w:val="21"/>
                <w:szCs w:val="21"/>
                <w:lang w:eastAsia="zh-CN"/>
              </w:rPr>
              <w:t>等相关领域具有较好的研究基础，近5年</w:t>
            </w:r>
            <w:r>
              <w:rPr>
                <w:rFonts w:ascii="仿宋_GB2312" w:hAnsi="Times New Roman" w:eastAsia="仿宋_GB2312" w:cs="Times New Roman"/>
                <w:sz w:val="21"/>
                <w:szCs w:val="22"/>
                <w:lang w:eastAsia="zh-CN"/>
              </w:rPr>
              <w:t>主持</w:t>
            </w:r>
            <w:r>
              <w:rPr>
                <w:rFonts w:hint="eastAsia" w:ascii="仿宋_GB2312" w:hAnsi="Times New Roman" w:eastAsia="仿宋_GB2312" w:cs="Times New Roman"/>
                <w:sz w:val="21"/>
                <w:szCs w:val="22"/>
                <w:lang w:eastAsia="zh-CN"/>
              </w:rPr>
              <w:t>过</w:t>
            </w:r>
            <w:r>
              <w:rPr>
                <w:rFonts w:ascii="仿宋_GB2312" w:hAnsi="Times New Roman" w:eastAsia="仿宋_GB2312" w:cs="Times New Roman"/>
                <w:sz w:val="21"/>
                <w:szCs w:val="22"/>
                <w:lang w:eastAsia="zh-CN"/>
              </w:rPr>
              <w:t>国家级科研项目。</w:t>
            </w:r>
          </w:p>
          <w:p w14:paraId="080FDBD2">
            <w:pPr>
              <w:pStyle w:val="7"/>
              <w:keepNext w:val="0"/>
              <w:keepLines w:val="0"/>
              <w:pageBreakBefore w:val="0"/>
              <w:kinsoku w:val="0"/>
              <w:wordWrap/>
              <w:overflowPunct/>
              <w:topLinePunct w:val="0"/>
              <w:autoSpaceDE w:val="0"/>
              <w:autoSpaceDN w:val="0"/>
              <w:bidi w:val="0"/>
              <w:adjustRightInd/>
              <w:snapToGrid w:val="0"/>
              <w:spacing w:line="300" w:lineRule="exact"/>
              <w:ind w:right="40"/>
              <w:textAlignment w:val="auto"/>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（6）具有较好的研究生培</w:t>
            </w:r>
            <w:bookmarkStart w:id="1" w:name="_GoBack"/>
            <w:bookmarkEnd w:id="1"/>
            <w:r>
              <w:rPr>
                <w:rFonts w:ascii="Times New Roman" w:hAnsi="Times New Roman" w:eastAsia="仿宋_GB2312" w:cs="Times New Roman"/>
                <w:sz w:val="21"/>
                <w:szCs w:val="21"/>
                <w:lang w:eastAsia="zh-CN"/>
              </w:rPr>
              <w:t>养和科研团队建设基础，能够围绕粤西地方畜禽遗传资源保护利用、动物环境适应性、优质性状形成分子基础及调控机制开展交叉研究。</w:t>
            </w:r>
          </w:p>
        </w:tc>
      </w:tr>
    </w:tbl>
    <w:p w14:paraId="23B9EE03">
      <w:pPr>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549A4"/>
    <w:rsid w:val="0015063A"/>
    <w:rsid w:val="001E41A5"/>
    <w:rsid w:val="001E7E7D"/>
    <w:rsid w:val="004205EF"/>
    <w:rsid w:val="005860DF"/>
    <w:rsid w:val="005917B9"/>
    <w:rsid w:val="006B3E50"/>
    <w:rsid w:val="009A42FE"/>
    <w:rsid w:val="009C46FF"/>
    <w:rsid w:val="009F0D9C"/>
    <w:rsid w:val="00A80877"/>
    <w:rsid w:val="00B8648B"/>
    <w:rsid w:val="00CB66B9"/>
    <w:rsid w:val="00D45FC3"/>
    <w:rsid w:val="00DB6E0E"/>
    <w:rsid w:val="00EE40B0"/>
    <w:rsid w:val="00F45413"/>
    <w:rsid w:val="47A868D9"/>
    <w:rsid w:val="4FE707F9"/>
    <w:rsid w:val="58F549A4"/>
    <w:rsid w:val="65E21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link w:val="9"/>
    <w:uiPriority w:val="0"/>
    <w:pPr>
      <w:tabs>
        <w:tab w:val="center" w:pos="4153"/>
        <w:tab w:val="right" w:pos="8306"/>
      </w:tabs>
      <w:snapToGrid w:val="0"/>
      <w:jc w:val="center"/>
    </w:pPr>
    <w:rPr>
      <w:sz w:val="18"/>
      <w:szCs w:val="18"/>
    </w:rPr>
  </w:style>
  <w:style w:type="character" w:styleId="6">
    <w:name w:val="page number"/>
    <w:qFormat/>
    <w:uiPriority w:val="0"/>
    <w:rPr>
      <w:rFonts w:ascii="宋体" w:hAnsi="宋体" w:eastAsia="宋体"/>
    </w:rPr>
  </w:style>
  <w:style w:type="paragraph" w:customStyle="1" w:styleId="7">
    <w:name w:val="Table Text"/>
    <w:basedOn w:val="1"/>
    <w:semiHidden/>
    <w:qFormat/>
    <w:uiPriority w:val="0"/>
    <w:rPr>
      <w:rFonts w:ascii="宋体" w:hAnsi="宋体" w:cs="宋体"/>
      <w:sz w:val="27"/>
      <w:szCs w:val="27"/>
    </w:rPr>
  </w:style>
  <w:style w:type="table" w:customStyle="1" w:styleId="8">
    <w:name w:val="Table Normal"/>
    <w:unhideWhenUsed/>
    <w:qFormat/>
    <w:uiPriority w:val="0"/>
    <w:tblPr>
      <w:tblCellMar>
        <w:top w:w="0" w:type="dxa"/>
        <w:left w:w="0" w:type="dxa"/>
        <w:bottom w:w="0" w:type="dxa"/>
        <w:right w:w="0" w:type="dxa"/>
      </w:tblCellMar>
    </w:tblPr>
  </w:style>
  <w:style w:type="character" w:customStyle="1" w:styleId="9">
    <w:name w:val="页眉 字符"/>
    <w:basedOn w:val="5"/>
    <w:link w:val="3"/>
    <w:uiPriority w:val="0"/>
    <w:rPr>
      <w:rFonts w:ascii="Times New Roman" w:hAnsi="Times New Roman" w:eastAsia="Times New Roman" w:cs="Times New Roman"/>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2400</Words>
  <Characters>2408</Characters>
  <Lines>17</Lines>
  <Paragraphs>4</Paragraphs>
  <TotalTime>0</TotalTime>
  <ScaleCrop>false</ScaleCrop>
  <LinksUpToDate>false</LinksUpToDate>
  <CharactersWithSpaces>2418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2025-09-09T08:10:00Z</dcterms:created>
  <dc:creator>lustar</dc:creator>
  <cp:lastModifiedBy>夏儆</cp:lastModifiedBy>
  <dcterms:modified xsi:type="dcterms:W3CDTF">2026-09-08T08:02:04Z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202EBE2EC4404E5E9D6D15EF5FFB27BB_11</vt:lpwstr>
  </property>
  <property fmtid="{D5CDD505-2E9C-101B-9397-08002B2CF9AE}" pid="4" name="KSOTemplateDocerSaveRecord">
    <vt:lpwstr>eyJoZGlkIjoiODVhYzYzNWY3MzE5NTk1MTI1YzE1ODNmYmI2YTNkNjgiLCJ1c2VySWQiOiIxNjI3MTAxOTMzIn0=</vt:lpwstr>
  </property>
</Properties>
</file>