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2CC4EC">
      <w:pPr>
        <w:widowControl/>
        <w:kinsoku w:val="0"/>
        <w:jc w:val="left"/>
        <w:rPr>
          <w:rFonts w:hint="eastAsia" w:ascii="黑体" w:hAnsi="黑体" w:eastAsia="黑体" w:cs="仿宋_GB2312"/>
          <w:szCs w:val="32"/>
        </w:rPr>
      </w:pPr>
      <w:r>
        <w:rPr>
          <w:rFonts w:hint="eastAsia" w:ascii="黑体" w:hAnsi="黑体" w:eastAsia="黑体" w:cs="仿宋_GB2312"/>
          <w:szCs w:val="32"/>
        </w:rPr>
        <w:t>附件1</w:t>
      </w:r>
    </w:p>
    <w:p w14:paraId="328B6CC6">
      <w:pPr>
        <w:widowControl/>
        <w:kinsoku w:val="0"/>
        <w:jc w:val="center"/>
        <w:rPr>
          <w:rFonts w:ascii="方正小标宋简体" w:eastAsia="方正小标宋简体"/>
          <w:bCs/>
          <w:sz w:val="36"/>
          <w:szCs w:val="36"/>
        </w:rPr>
      </w:pPr>
      <w:r>
        <w:rPr>
          <w:rFonts w:hint="eastAsia" w:ascii="方正小标宋简体" w:eastAsia="方正小标宋简体"/>
          <w:bCs/>
          <w:sz w:val="36"/>
          <w:szCs w:val="36"/>
        </w:rPr>
        <w:t>岗位</w:t>
      </w:r>
      <w:r>
        <w:rPr>
          <w:rFonts w:hint="eastAsia" w:ascii="方正小标宋简体" w:eastAsia="方正小标宋简体"/>
          <w:bCs/>
          <w:sz w:val="36"/>
          <w:szCs w:val="36"/>
          <w:lang w:val="en-US" w:eastAsia="zh-CN"/>
        </w:rPr>
        <w:t>职责及</w:t>
      </w:r>
      <w:r>
        <w:rPr>
          <w:rFonts w:hint="eastAsia" w:ascii="方正小标宋简体" w:eastAsia="方正小标宋简体"/>
          <w:bCs/>
          <w:sz w:val="36"/>
          <w:szCs w:val="36"/>
        </w:rPr>
        <w:t>资格条件</w:t>
      </w:r>
    </w:p>
    <w:tbl>
      <w:tblPr>
        <w:tblStyle w:val="3"/>
        <w:tblW w:w="1214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9"/>
        <w:gridCol w:w="1214"/>
        <w:gridCol w:w="624"/>
        <w:gridCol w:w="2706"/>
        <w:gridCol w:w="1829"/>
        <w:gridCol w:w="979"/>
        <w:gridCol w:w="3709"/>
      </w:tblGrid>
      <w:tr w14:paraId="1B8313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0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CB288A">
            <w:pPr>
              <w:widowControl/>
              <w:spacing w:line="280" w:lineRule="exact"/>
              <w:ind w:firstLine="77"/>
              <w:jc w:val="center"/>
              <w:rPr>
                <w:rFonts w:hint="eastAsia" w:ascii="宋体" w:hAnsi="宋体" w:eastAsia="宋体" w:cs="宋体"/>
                <w:b/>
                <w:bCs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</w:rPr>
              <w:t>部门/子公司</w:t>
            </w:r>
          </w:p>
        </w:tc>
        <w:tc>
          <w:tcPr>
            <w:tcW w:w="12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DF30B8">
            <w:pPr>
              <w:widowControl/>
              <w:spacing w:line="280" w:lineRule="exact"/>
              <w:ind w:firstLine="77"/>
              <w:jc w:val="center"/>
              <w:rPr>
                <w:rFonts w:hint="eastAsia" w:ascii="宋体" w:hAnsi="宋体" w:eastAsia="宋体" w:cs="宋体"/>
                <w:b/>
                <w:bCs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</w:rPr>
              <w:t>招聘岗位</w:t>
            </w:r>
          </w:p>
        </w:tc>
        <w:tc>
          <w:tcPr>
            <w:tcW w:w="6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5CBC9C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/>
                <w:bCs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</w:rPr>
              <w:t>招聘 人数</w:t>
            </w:r>
          </w:p>
        </w:tc>
        <w:tc>
          <w:tcPr>
            <w:tcW w:w="270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199156E0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/>
                <w:bCs/>
                <w:sz w:val="22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岗位职责</w:t>
            </w:r>
          </w:p>
        </w:tc>
        <w:tc>
          <w:tcPr>
            <w:tcW w:w="65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BCAE9B">
            <w:pPr>
              <w:widowControl/>
              <w:spacing w:line="280" w:lineRule="exact"/>
              <w:ind w:firstLine="77"/>
              <w:jc w:val="center"/>
              <w:rPr>
                <w:rFonts w:hint="eastAsia" w:ascii="宋体" w:hAnsi="宋体" w:eastAsia="宋体" w:cs="宋体"/>
                <w:b/>
                <w:bCs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</w:rPr>
              <w:t>岗位要求</w:t>
            </w:r>
          </w:p>
        </w:tc>
      </w:tr>
      <w:tr w14:paraId="1937BE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E7FA489">
            <w:pPr>
              <w:widowControl/>
              <w:spacing w:line="280" w:lineRule="exact"/>
              <w:ind w:firstLine="77"/>
              <w:jc w:val="center"/>
              <w:rPr>
                <w:rFonts w:hint="eastAsia" w:ascii="宋体" w:hAnsi="宋体" w:eastAsia="宋体" w:cs="宋体"/>
                <w:b/>
                <w:bCs/>
                <w:sz w:val="22"/>
              </w:rPr>
            </w:pPr>
          </w:p>
        </w:tc>
        <w:tc>
          <w:tcPr>
            <w:tcW w:w="12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1D7E413">
            <w:pPr>
              <w:widowControl/>
              <w:spacing w:line="280" w:lineRule="exact"/>
              <w:ind w:firstLine="77"/>
              <w:jc w:val="center"/>
              <w:rPr>
                <w:rFonts w:hint="eastAsia" w:ascii="宋体" w:hAnsi="宋体" w:eastAsia="宋体" w:cs="宋体"/>
                <w:b/>
                <w:bCs/>
                <w:sz w:val="22"/>
              </w:rPr>
            </w:pPr>
          </w:p>
        </w:tc>
        <w:tc>
          <w:tcPr>
            <w:tcW w:w="6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255919B">
            <w:pPr>
              <w:widowControl/>
              <w:spacing w:line="280" w:lineRule="exact"/>
              <w:ind w:firstLine="77"/>
              <w:jc w:val="center"/>
              <w:rPr>
                <w:rFonts w:hint="eastAsia" w:ascii="宋体" w:hAnsi="宋体" w:eastAsia="宋体" w:cs="宋体"/>
                <w:b/>
                <w:bCs/>
                <w:sz w:val="22"/>
              </w:rPr>
            </w:pPr>
          </w:p>
        </w:tc>
        <w:tc>
          <w:tcPr>
            <w:tcW w:w="2706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682EFCF">
            <w:pPr>
              <w:widowControl/>
              <w:spacing w:line="280" w:lineRule="exact"/>
              <w:ind w:firstLine="77"/>
              <w:jc w:val="center"/>
              <w:rPr>
                <w:rFonts w:hint="eastAsia" w:ascii="宋体" w:hAnsi="宋体" w:eastAsia="宋体" w:cs="宋体"/>
                <w:b/>
                <w:bCs/>
                <w:sz w:val="22"/>
              </w:rPr>
            </w:pPr>
          </w:p>
        </w:tc>
        <w:tc>
          <w:tcPr>
            <w:tcW w:w="182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7BFC5F2">
            <w:pPr>
              <w:widowControl/>
              <w:spacing w:line="280" w:lineRule="exact"/>
              <w:ind w:firstLine="77"/>
              <w:jc w:val="center"/>
              <w:rPr>
                <w:rFonts w:hint="eastAsia" w:ascii="宋体" w:hAnsi="宋体" w:eastAsia="宋体" w:cs="宋体"/>
                <w:b/>
                <w:bCs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</w:rPr>
              <w:t>所学专业要求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3199833">
            <w:pPr>
              <w:widowControl/>
              <w:spacing w:line="280" w:lineRule="exact"/>
              <w:ind w:firstLine="77"/>
              <w:jc w:val="center"/>
              <w:rPr>
                <w:rFonts w:hint="eastAsia" w:ascii="宋体" w:hAnsi="宋体" w:eastAsia="宋体" w:cs="宋体"/>
                <w:b/>
                <w:bCs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</w:rPr>
              <w:t>学历</w:t>
            </w:r>
          </w:p>
        </w:tc>
        <w:tc>
          <w:tcPr>
            <w:tcW w:w="370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7F0BAB6">
            <w:pPr>
              <w:widowControl/>
              <w:spacing w:line="280" w:lineRule="exact"/>
              <w:ind w:firstLine="77"/>
              <w:jc w:val="center"/>
              <w:rPr>
                <w:rFonts w:hint="eastAsia" w:ascii="宋体" w:hAnsi="宋体" w:eastAsia="宋体" w:cs="宋体"/>
                <w:b/>
                <w:bCs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</w:rPr>
              <w:t>其他</w:t>
            </w:r>
          </w:p>
        </w:tc>
      </w:tr>
      <w:tr w14:paraId="33784F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0" w:hRule="atLeast"/>
          <w:jc w:val="center"/>
        </w:trPr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31E6732">
            <w:pPr>
              <w:widowControl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商业保理公司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C74AB5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副总经理</w:t>
            </w:r>
          </w:p>
          <w:p w14:paraId="1630FA9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（分管财务）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00AC06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2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5278BAE"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1.战略与资金管理：主导公司与银行、信托、券商等机构对接，拓展授信额度，降低融资成本；负责资产证券化（ABS/ABN）的底层资产筛选、现金流测算及发行全流程；</w:t>
            </w:r>
          </w:p>
          <w:p w14:paraId="279BEFD8"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2.业务合规与风控：结合监管部门对商业保理的监管要求，构建财务内控体系；</w:t>
            </w:r>
          </w:p>
          <w:p w14:paraId="6E4752A0"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3.财务核算与分析：建立符合保理业务特质的核算模型，定期出具专项分析报告；</w:t>
            </w:r>
          </w:p>
          <w:p w14:paraId="74AE7A55"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4.税务筹划：针对“营改增”后保理行业的增值税差额扣除政策进行合理筹划；</w:t>
            </w:r>
          </w:p>
          <w:p w14:paraId="43E587AB"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5.流动性管理：监控应收保理款的账龄结构与回款进度，规避期限错配风险，确保公司杠杆率符合监管红线要求。</w:t>
            </w:r>
          </w:p>
        </w:tc>
        <w:tc>
          <w:tcPr>
            <w:tcW w:w="1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B70AF92"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本科：工商管理类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 w:bidi="ar"/>
              </w:rPr>
              <w:t>、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财政学类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 w:bidi="ar"/>
              </w:rPr>
              <w:t>、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金融学类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 w:bidi="ar"/>
              </w:rPr>
              <w:t>、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经济学类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 w:bidi="ar"/>
              </w:rPr>
              <w:t>；</w:t>
            </w:r>
          </w:p>
          <w:p w14:paraId="678352A8"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研究生：工商管理类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 w:bidi="ar"/>
              </w:rPr>
              <w:t>、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应用经济学类</w:t>
            </w: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06D5F7"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本科及以上学历</w:t>
            </w:r>
          </w:p>
        </w:tc>
        <w:tc>
          <w:tcPr>
            <w:tcW w:w="3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204D8A">
            <w:pPr>
              <w:widowControl/>
              <w:spacing w:line="240" w:lineRule="exact"/>
              <w:jc w:val="left"/>
              <w:textAlignment w:val="center"/>
              <w:rPr>
                <w:rStyle w:val="5"/>
                <w:rFonts w:hint="default"/>
                <w:color w:val="auto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bidi="ar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 w:bidi="ar"/>
              </w:rPr>
              <w:t>.45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bidi="ar"/>
              </w:rPr>
              <w:t>周岁及以下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 w:bidi="ar"/>
              </w:rPr>
              <w:t>即1980年9月1日后出生）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bidi="ar"/>
              </w:rPr>
              <w:t>；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bidi="ar"/>
              </w:rPr>
              <w:br w:type="textWrapping"/>
            </w:r>
            <w:r>
              <w:rPr>
                <w:rStyle w:val="5"/>
                <w:rFonts w:hint="eastAsia" w:eastAsia="宋体"/>
                <w:color w:val="auto"/>
                <w:sz w:val="18"/>
                <w:szCs w:val="18"/>
                <w:highlight w:val="none"/>
                <w:lang w:val="en-US" w:eastAsia="zh-CN" w:bidi="ar"/>
              </w:rPr>
              <w:t>2</w:t>
            </w:r>
            <w:r>
              <w:rPr>
                <w:rStyle w:val="5"/>
                <w:rFonts w:hint="default"/>
                <w:color w:val="auto"/>
                <w:sz w:val="18"/>
                <w:szCs w:val="18"/>
                <w:highlight w:val="none"/>
                <w:lang w:bidi="ar"/>
              </w:rPr>
              <w:t>.具有10年及以上金融行业从业经历；</w:t>
            </w:r>
          </w:p>
          <w:p w14:paraId="31F19610">
            <w:pPr>
              <w:widowControl/>
              <w:spacing w:line="240" w:lineRule="exact"/>
              <w:jc w:val="left"/>
              <w:textAlignment w:val="center"/>
              <w:rPr>
                <w:rStyle w:val="5"/>
                <w:rFonts w:hint="default"/>
                <w:color w:val="auto"/>
                <w:sz w:val="18"/>
                <w:szCs w:val="18"/>
                <w:highlight w:val="none"/>
                <w:lang w:bidi="ar"/>
              </w:rPr>
            </w:pPr>
            <w:r>
              <w:rPr>
                <w:rStyle w:val="5"/>
                <w:rFonts w:hint="eastAsia" w:eastAsia="宋体"/>
                <w:color w:val="auto"/>
                <w:sz w:val="18"/>
                <w:szCs w:val="18"/>
                <w:highlight w:val="none"/>
                <w:lang w:val="en-US" w:eastAsia="zh-CN" w:bidi="ar"/>
              </w:rPr>
              <w:t>3</w:t>
            </w:r>
            <w:r>
              <w:rPr>
                <w:rStyle w:val="5"/>
                <w:rFonts w:hint="default"/>
                <w:color w:val="auto"/>
                <w:sz w:val="18"/>
                <w:szCs w:val="18"/>
                <w:highlight w:val="none"/>
                <w:lang w:bidi="ar"/>
              </w:rPr>
              <w:t>.具备3年及以上在银行、融资租赁、商业保理等金融机构财务条线中层及以上累计任职经历；</w:t>
            </w:r>
          </w:p>
          <w:p w14:paraId="2A75A69D">
            <w:pPr>
              <w:widowControl/>
              <w:spacing w:line="240" w:lineRule="exact"/>
              <w:jc w:val="left"/>
              <w:textAlignment w:val="center"/>
              <w:rPr>
                <w:rStyle w:val="5"/>
                <w:rFonts w:hint="default"/>
                <w:color w:val="auto"/>
                <w:sz w:val="18"/>
                <w:szCs w:val="18"/>
                <w:highlight w:val="none"/>
                <w:lang w:bidi="ar"/>
              </w:rPr>
            </w:pPr>
            <w:r>
              <w:rPr>
                <w:rStyle w:val="5"/>
                <w:rFonts w:hint="eastAsia" w:eastAsia="宋体"/>
                <w:color w:val="auto"/>
                <w:sz w:val="18"/>
                <w:szCs w:val="18"/>
                <w:highlight w:val="none"/>
                <w:lang w:val="en-US" w:eastAsia="zh-CN" w:bidi="ar"/>
              </w:rPr>
              <w:t>4</w:t>
            </w:r>
            <w:r>
              <w:rPr>
                <w:rStyle w:val="5"/>
                <w:rFonts w:hint="default"/>
                <w:color w:val="auto"/>
                <w:sz w:val="18"/>
                <w:szCs w:val="18"/>
                <w:highlight w:val="none"/>
                <w:lang w:bidi="ar"/>
              </w:rPr>
              <w:t>.持有中级会计师</w:t>
            </w:r>
            <w:r>
              <w:rPr>
                <w:rStyle w:val="5"/>
                <w:rFonts w:hint="eastAsia" w:eastAsia="宋体"/>
                <w:color w:val="auto"/>
                <w:sz w:val="18"/>
                <w:szCs w:val="18"/>
                <w:highlight w:val="none"/>
                <w:lang w:val="en-US" w:eastAsia="zh-CN" w:bidi="ar"/>
              </w:rPr>
              <w:t>及</w:t>
            </w:r>
            <w:r>
              <w:rPr>
                <w:rStyle w:val="5"/>
                <w:rFonts w:hint="default"/>
                <w:color w:val="auto"/>
                <w:sz w:val="18"/>
                <w:szCs w:val="18"/>
                <w:highlight w:val="none"/>
                <w:lang w:bidi="ar"/>
              </w:rPr>
              <w:t>以上职称；</w:t>
            </w:r>
          </w:p>
          <w:p w14:paraId="68D05F9E">
            <w:pPr>
              <w:widowControl/>
              <w:spacing w:line="240" w:lineRule="exact"/>
              <w:jc w:val="left"/>
              <w:textAlignment w:val="center"/>
              <w:rPr>
                <w:rStyle w:val="5"/>
                <w:rFonts w:hint="default"/>
                <w:color w:val="auto"/>
                <w:sz w:val="18"/>
                <w:szCs w:val="18"/>
                <w:highlight w:val="none"/>
                <w:lang w:bidi="ar"/>
              </w:rPr>
            </w:pPr>
            <w:r>
              <w:rPr>
                <w:rStyle w:val="5"/>
                <w:rFonts w:hint="eastAsia" w:eastAsia="宋体"/>
                <w:color w:val="auto"/>
                <w:sz w:val="18"/>
                <w:szCs w:val="18"/>
                <w:highlight w:val="none"/>
                <w:lang w:val="en-US" w:eastAsia="zh-CN" w:bidi="ar"/>
              </w:rPr>
              <w:t>5</w:t>
            </w:r>
            <w:r>
              <w:rPr>
                <w:rStyle w:val="5"/>
                <w:rFonts w:hint="default"/>
                <w:color w:val="auto"/>
                <w:sz w:val="18"/>
                <w:szCs w:val="18"/>
                <w:highlight w:val="none"/>
                <w:lang w:bidi="ar"/>
              </w:rPr>
              <w:t>.熟悉商业保理业务流程、交易结构，具备较强的风险控制能力；</w:t>
            </w:r>
          </w:p>
          <w:p w14:paraId="1644EC5F">
            <w:pPr>
              <w:widowControl/>
              <w:spacing w:line="240" w:lineRule="exact"/>
              <w:jc w:val="left"/>
              <w:textAlignment w:val="center"/>
              <w:rPr>
                <w:rStyle w:val="5"/>
                <w:rFonts w:hint="default"/>
                <w:color w:val="auto"/>
                <w:sz w:val="18"/>
                <w:szCs w:val="18"/>
                <w:highlight w:val="none"/>
                <w:lang w:bidi="ar"/>
              </w:rPr>
            </w:pPr>
            <w:r>
              <w:rPr>
                <w:rStyle w:val="5"/>
                <w:rFonts w:hint="eastAsia" w:eastAsia="宋体"/>
                <w:color w:val="auto"/>
                <w:sz w:val="18"/>
                <w:szCs w:val="18"/>
                <w:highlight w:val="none"/>
                <w:lang w:val="en-US" w:eastAsia="zh-CN" w:bidi="ar"/>
              </w:rPr>
              <w:t>6</w:t>
            </w:r>
            <w:r>
              <w:rPr>
                <w:rStyle w:val="5"/>
                <w:rFonts w:hint="default"/>
                <w:color w:val="auto"/>
                <w:sz w:val="18"/>
                <w:szCs w:val="18"/>
                <w:highlight w:val="none"/>
                <w:lang w:bidi="ar"/>
              </w:rPr>
              <w:t>.持有注册会计师或高级会计师或ACCA者优先；</w:t>
            </w:r>
          </w:p>
          <w:p w14:paraId="054B43E5"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Style w:val="5"/>
                <w:rFonts w:hint="eastAsia" w:eastAsia="宋体"/>
                <w:color w:val="auto"/>
                <w:sz w:val="18"/>
                <w:szCs w:val="18"/>
                <w:highlight w:val="none"/>
                <w:lang w:val="en-US" w:eastAsia="zh-CN" w:bidi="ar"/>
              </w:rPr>
              <w:t>7.</w:t>
            </w:r>
            <w:r>
              <w:rPr>
                <w:rStyle w:val="5"/>
                <w:rFonts w:hint="default"/>
                <w:color w:val="auto"/>
                <w:sz w:val="18"/>
                <w:szCs w:val="18"/>
                <w:highlight w:val="none"/>
                <w:lang w:bidi="ar"/>
              </w:rPr>
              <w:t>具有上海金融行业相关工作经验者</w:t>
            </w:r>
            <w:r>
              <w:rPr>
                <w:rStyle w:val="5"/>
                <w:rFonts w:hint="eastAsia" w:eastAsia="宋体"/>
                <w:color w:val="auto"/>
                <w:sz w:val="18"/>
                <w:szCs w:val="18"/>
                <w:highlight w:val="none"/>
                <w:lang w:val="en-US" w:eastAsia="zh-CN" w:bidi="ar"/>
              </w:rPr>
              <w:t>或</w:t>
            </w:r>
            <w:r>
              <w:rPr>
                <w:rStyle w:val="5"/>
                <w:rFonts w:hint="default"/>
                <w:color w:val="auto"/>
                <w:sz w:val="18"/>
                <w:szCs w:val="18"/>
                <w:highlight w:val="none"/>
                <w:lang w:bidi="ar"/>
              </w:rPr>
              <w:t>3年及以上商业保理行业工作经验者优先</w:t>
            </w:r>
            <w:r>
              <w:rPr>
                <w:rStyle w:val="5"/>
                <w:rFonts w:hint="eastAsia" w:eastAsia="宋体"/>
                <w:color w:val="auto"/>
                <w:sz w:val="18"/>
                <w:szCs w:val="18"/>
                <w:highlight w:val="none"/>
                <w:lang w:eastAsia="zh-CN" w:bidi="ar"/>
              </w:rPr>
              <w:t>。</w:t>
            </w:r>
          </w:p>
        </w:tc>
      </w:tr>
    </w:tbl>
    <w:p w14:paraId="370813F8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B25F7F"/>
    <w:rsid w:val="25B25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5">
    <w:name w:val="font51"/>
    <w:basedOn w:val="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2026-09-01T07:27:00Z</dcterms:created>
  <dc:creator>落。</dc:creator>
  <cp:lastModifiedBy>落。</cp:lastModifiedBy>
  <dcterms:modified xsi:type="dcterms:W3CDTF">2026-09-01T07:27:39Z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E3C8113951C044399028C9FE12A20E5A_11</vt:lpwstr>
  </property>
  <property fmtid="{D5CDD505-2E9C-101B-9397-08002B2CF9AE}" pid="4" name="KSOTemplateDocerSaveRecord">
    <vt:lpwstr>eyJoZGlkIjoiMzEwNTM5NzYwMDRjMzkwZTVkZjY2ODkwMGIxNGU0OTUiLCJ1c2VySWQiOiIzMTUxMDc2NjcifQ==</vt:lpwstr>
  </property>
</Properties>
</file>