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52663F">
      <w:pPr>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方正小标宋简体" w:hAnsi="方正小标宋简体" w:eastAsia="方正小标宋简体" w:cs="方正小标宋简体"/>
          <w:b w:val="0"/>
          <w:bCs/>
          <w:w w:val="100"/>
          <w:kern w:val="0"/>
          <w:sz w:val="44"/>
          <w:szCs w:val="44"/>
        </w:rPr>
      </w:pPr>
      <w:bookmarkStart w:id="0" w:name="_Toc6286_WPSOffice_Level1"/>
    </w:p>
    <w:p w14:paraId="056078EC">
      <w:pPr>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方正小标宋简体" w:hAnsi="方正小标宋简体" w:eastAsia="方正小标宋简体" w:cs="方正小标宋简体"/>
          <w:b w:val="0"/>
          <w:bCs/>
          <w:w w:val="100"/>
          <w:kern w:val="0"/>
          <w:sz w:val="44"/>
          <w:szCs w:val="44"/>
        </w:rPr>
      </w:pPr>
      <w:r>
        <w:rPr>
          <w:rFonts w:hint="eastAsia" w:ascii="方正小标宋简体" w:hAnsi="方正小标宋简体" w:eastAsia="方正小标宋简体" w:cs="方正小标宋简体"/>
          <w:b w:val="0"/>
          <w:bCs/>
          <w:w w:val="100"/>
          <w:kern w:val="0"/>
          <w:sz w:val="44"/>
          <w:szCs w:val="44"/>
        </w:rPr>
        <w:t>202</w:t>
      </w:r>
      <w:r>
        <w:rPr>
          <w:rFonts w:hint="eastAsia" w:ascii="方正小标宋简体" w:hAnsi="方正小标宋简体" w:eastAsia="方正小标宋简体" w:cs="方正小标宋简体"/>
          <w:b w:val="0"/>
          <w:bCs/>
          <w:w w:val="100"/>
          <w:kern w:val="0"/>
          <w:sz w:val="44"/>
          <w:szCs w:val="44"/>
          <w:lang w:val="en-US" w:eastAsia="zh-CN"/>
        </w:rPr>
        <w:t>6</w:t>
      </w:r>
      <w:r>
        <w:rPr>
          <w:rFonts w:hint="eastAsia" w:ascii="方正小标宋简体" w:hAnsi="方正小标宋简体" w:eastAsia="方正小标宋简体" w:cs="方正小标宋简体"/>
          <w:b w:val="0"/>
          <w:bCs/>
          <w:w w:val="100"/>
          <w:kern w:val="0"/>
          <w:sz w:val="44"/>
          <w:szCs w:val="44"/>
        </w:rPr>
        <w:t>年</w:t>
      </w:r>
      <w:r>
        <w:rPr>
          <w:rFonts w:hint="eastAsia" w:ascii="方正小标宋简体" w:hAnsi="方正小标宋简体" w:eastAsia="方正小标宋简体" w:cs="方正小标宋简体"/>
          <w:b w:val="0"/>
          <w:bCs/>
          <w:w w:val="100"/>
          <w:kern w:val="0"/>
          <w:sz w:val="44"/>
          <w:szCs w:val="44"/>
          <w:lang w:val="en-US" w:eastAsia="zh-CN"/>
        </w:rPr>
        <w:t>8</w:t>
      </w:r>
      <w:r>
        <w:rPr>
          <w:rFonts w:hint="eastAsia" w:ascii="方正小标宋简体" w:hAnsi="方正小标宋简体" w:eastAsia="方正小标宋简体" w:cs="方正小标宋简体"/>
          <w:b w:val="0"/>
          <w:bCs/>
          <w:w w:val="100"/>
          <w:kern w:val="0"/>
          <w:sz w:val="44"/>
          <w:szCs w:val="44"/>
        </w:rPr>
        <w:t>月</w:t>
      </w:r>
      <w:r>
        <w:rPr>
          <w:rFonts w:hint="eastAsia" w:ascii="方正小标宋简体" w:hAnsi="方正小标宋简体" w:eastAsia="方正小标宋简体" w:cs="方正小标宋简体"/>
          <w:b w:val="0"/>
          <w:bCs/>
          <w:w w:val="100"/>
          <w:kern w:val="0"/>
          <w:sz w:val="44"/>
          <w:szCs w:val="44"/>
          <w:lang w:val="en-US" w:eastAsia="zh-CN"/>
        </w:rPr>
        <w:t>集美区辖区</w:t>
      </w:r>
      <w:r>
        <w:rPr>
          <w:rFonts w:hint="eastAsia" w:ascii="方正小标宋简体" w:hAnsi="方正小标宋简体" w:eastAsia="方正小标宋简体" w:cs="方正小标宋简体"/>
          <w:b w:val="0"/>
          <w:bCs/>
          <w:w w:val="100"/>
          <w:kern w:val="0"/>
          <w:sz w:val="44"/>
          <w:szCs w:val="44"/>
        </w:rPr>
        <w:t>街道社区卫生服务</w:t>
      </w:r>
    </w:p>
    <w:p w14:paraId="3D694B39">
      <w:pPr>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方正小标宋简体" w:hAnsi="方正小标宋简体" w:eastAsia="方正小标宋简体" w:cs="方正小标宋简体"/>
          <w:b w:val="0"/>
          <w:bCs/>
          <w:w w:val="100"/>
          <w:kern w:val="0"/>
          <w:sz w:val="44"/>
          <w:szCs w:val="44"/>
        </w:rPr>
      </w:pPr>
      <w:bookmarkStart w:id="111" w:name="_GoBack"/>
      <w:bookmarkEnd w:id="111"/>
      <w:r>
        <w:rPr>
          <w:rFonts w:hint="eastAsia" w:ascii="方正小标宋简体" w:hAnsi="方正小标宋简体" w:eastAsia="方正小标宋简体" w:cs="方正小标宋简体"/>
          <w:b w:val="0"/>
          <w:bCs/>
          <w:w w:val="100"/>
          <w:kern w:val="0"/>
          <w:sz w:val="44"/>
          <w:szCs w:val="44"/>
        </w:rPr>
        <w:t>中心</w:t>
      </w:r>
      <w:r>
        <w:rPr>
          <w:rFonts w:hint="eastAsia" w:ascii="方正小标宋简体" w:hAnsi="方正小标宋简体" w:eastAsia="方正小标宋简体" w:cs="方正小标宋简体"/>
          <w:b w:val="0"/>
          <w:bCs/>
          <w:w w:val="100"/>
          <w:kern w:val="0"/>
          <w:sz w:val="44"/>
          <w:szCs w:val="44"/>
          <w:lang w:eastAsia="zh-CN"/>
        </w:rPr>
        <w:t>补充编外人员招聘</w:t>
      </w:r>
      <w:r>
        <w:rPr>
          <w:rFonts w:hint="eastAsia" w:ascii="方正小标宋简体" w:hAnsi="方正小标宋简体" w:eastAsia="方正小标宋简体" w:cs="方正小标宋简体"/>
          <w:b w:val="0"/>
          <w:bCs/>
          <w:w w:val="100"/>
          <w:kern w:val="0"/>
          <w:sz w:val="44"/>
          <w:szCs w:val="44"/>
        </w:rPr>
        <w:t>报考须知</w:t>
      </w:r>
      <w:bookmarkEnd w:id="0"/>
    </w:p>
    <w:p w14:paraId="0AE0F2BD">
      <w:pPr>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方正小标宋简体" w:hAnsi="方正小标宋简体" w:eastAsia="方正小标宋简体" w:cs="方正小标宋简体"/>
          <w:b/>
          <w:w w:val="85"/>
          <w:kern w:val="0"/>
          <w:sz w:val="44"/>
          <w:szCs w:val="44"/>
        </w:rPr>
      </w:pPr>
    </w:p>
    <w:p w14:paraId="38CC595D">
      <w:pPr>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方正小标宋简体" w:hAnsi="方正小标宋简体" w:eastAsia="方正小标宋简体" w:cs="方正小标宋简体"/>
          <w:b/>
          <w:w w:val="85"/>
          <w:kern w:val="0"/>
          <w:sz w:val="44"/>
          <w:szCs w:val="44"/>
        </w:rPr>
      </w:pPr>
    </w:p>
    <w:sdt>
      <w:sdtPr>
        <w:rPr>
          <w:rFonts w:ascii="宋体" w:hAnsi="宋体" w:eastAsia="宋体" w:cstheme="minorBidi"/>
          <w:kern w:val="2"/>
          <w:sz w:val="28"/>
          <w:szCs w:val="28"/>
          <w:lang w:val="en-US" w:eastAsia="zh-CN" w:bidi="ar-SA"/>
        </w:rPr>
        <w:id w:val="147460905"/>
        <w15:color w:val="DBDBDB"/>
        <w:docPartObj>
          <w:docPartGallery w:val="Table of Contents"/>
          <w:docPartUnique/>
        </w:docPartObj>
      </w:sdtPr>
      <w:sdtEndPr>
        <w:rPr>
          <w:rFonts w:hint="eastAsia" w:ascii="方正小标宋简体" w:hAnsi="方正小标宋简体" w:eastAsia="方正小标宋简体" w:cs="方正小标宋简体"/>
          <w:w w:val="85"/>
          <w:kern w:val="0"/>
          <w:sz w:val="28"/>
          <w:szCs w:val="28"/>
          <w:lang w:val="en-US" w:eastAsia="zh-CN" w:bidi="ar-SA"/>
        </w:rPr>
      </w:sdtEndPr>
      <w:sdtContent>
        <w:p w14:paraId="60C31EEA">
          <w:pPr>
            <w:keepNext w:val="0"/>
            <w:keepLines w:val="0"/>
            <w:pageBreakBefore w:val="0"/>
            <w:widowControl w:val="0"/>
            <w:kinsoku/>
            <w:wordWrap/>
            <w:overflowPunct/>
            <w:topLinePunct w:val="0"/>
            <w:autoSpaceDE/>
            <w:autoSpaceDN/>
            <w:bidi w:val="0"/>
            <w:spacing w:before="0" w:beforeLines="0" w:after="0" w:afterLines="0" w:line="440" w:lineRule="exact"/>
            <w:ind w:left="0" w:leftChars="0" w:right="0" w:rightChars="0" w:firstLine="0" w:firstLineChars="0"/>
            <w:jc w:val="center"/>
            <w:textAlignment w:val="auto"/>
            <w:rPr>
              <w:rFonts w:hint="eastAsia" w:ascii="方正小标宋简体" w:hAnsi="方正小标宋简体" w:eastAsia="方正小标宋简体" w:cs="方正小标宋简体"/>
              <w:sz w:val="28"/>
              <w:szCs w:val="28"/>
            </w:rPr>
          </w:pPr>
          <w:r>
            <w:rPr>
              <w:rFonts w:hint="eastAsia" w:ascii="方正小标宋简体" w:hAnsi="方正小标宋简体" w:eastAsia="方正小标宋简体" w:cs="方正小标宋简体"/>
              <w:sz w:val="28"/>
              <w:szCs w:val="28"/>
            </w:rPr>
            <w:t>目</w:t>
          </w:r>
          <w:r>
            <w:rPr>
              <w:rFonts w:hint="eastAsia" w:ascii="方正小标宋简体" w:hAnsi="方正小标宋简体" w:eastAsia="方正小标宋简体" w:cs="方正小标宋简体"/>
              <w:sz w:val="28"/>
              <w:szCs w:val="28"/>
              <w:lang w:val="en-US" w:eastAsia="zh-CN"/>
            </w:rPr>
            <w:t xml:space="preserve">  </w:t>
          </w:r>
          <w:r>
            <w:rPr>
              <w:rFonts w:hint="eastAsia" w:ascii="方正小标宋简体" w:hAnsi="方正小标宋简体" w:eastAsia="方正小标宋简体" w:cs="方正小标宋简体"/>
              <w:sz w:val="28"/>
              <w:szCs w:val="28"/>
            </w:rPr>
            <w:t>录</w:t>
          </w:r>
        </w:p>
        <w:p w14:paraId="52AB26CC">
          <w:pPr>
            <w:keepNext w:val="0"/>
            <w:keepLines w:val="0"/>
            <w:pageBreakBefore w:val="0"/>
            <w:widowControl w:val="0"/>
            <w:kinsoku/>
            <w:wordWrap/>
            <w:overflowPunct/>
            <w:topLinePunct w:val="0"/>
            <w:autoSpaceDE/>
            <w:autoSpaceDN/>
            <w:bidi w:val="0"/>
            <w:spacing w:before="0" w:beforeLines="0" w:after="0" w:afterLines="0" w:line="440" w:lineRule="exact"/>
            <w:ind w:left="0" w:leftChars="0" w:right="0" w:rightChars="0" w:firstLine="0" w:firstLineChars="0"/>
            <w:jc w:val="center"/>
            <w:textAlignment w:val="auto"/>
            <w:rPr>
              <w:rFonts w:hint="eastAsia" w:ascii="方正小标宋简体" w:hAnsi="方正小标宋简体" w:eastAsia="方正小标宋简体" w:cs="方正小标宋简体"/>
              <w:sz w:val="28"/>
              <w:szCs w:val="28"/>
            </w:rPr>
          </w:pPr>
        </w:p>
        <w:p w14:paraId="3357DF37">
          <w:pPr>
            <w:pStyle w:val="12"/>
            <w:keepNext w:val="0"/>
            <w:keepLines w:val="0"/>
            <w:pageBreakBefore w:val="0"/>
            <w:widowControl w:val="0"/>
            <w:kinsoku/>
            <w:wordWrap/>
            <w:overflowPunct/>
            <w:topLinePunct w:val="0"/>
            <w:autoSpaceDE/>
            <w:autoSpaceDN/>
            <w:bidi w:val="0"/>
            <w:spacing w:line="440" w:lineRule="exact"/>
            <w:textAlignment w:val="auto"/>
            <w:rPr>
              <w:rFonts w:hint="eastAsia" w:ascii="楷体_GB2312" w:hAnsi="楷体_GB2312" w:eastAsia="楷体_GB2312" w:cs="楷体_GB2312"/>
              <w:sz w:val="28"/>
              <w:szCs w:val="28"/>
            </w:rPr>
          </w:pPr>
          <w:r>
            <w:rPr>
              <w:rFonts w:hint="eastAsia" w:ascii="楷体_GB2312" w:hAnsi="楷体_GB2312" w:eastAsia="楷体_GB2312" w:cs="楷体_GB2312"/>
              <w:b/>
              <w:w w:val="85"/>
              <w:kern w:val="0"/>
              <w:sz w:val="28"/>
              <w:szCs w:val="28"/>
            </w:rPr>
            <w:fldChar w:fldCharType="begin"/>
          </w:r>
          <w:r>
            <w:rPr>
              <w:rFonts w:hint="eastAsia" w:ascii="楷体_GB2312" w:hAnsi="楷体_GB2312" w:eastAsia="楷体_GB2312" w:cs="楷体_GB2312"/>
              <w:b/>
              <w:w w:val="85"/>
              <w:kern w:val="0"/>
              <w:sz w:val="28"/>
              <w:szCs w:val="28"/>
            </w:rPr>
            <w:instrText xml:space="preserve">TOC \o "1-2" \h \u </w:instrText>
          </w:r>
          <w:r>
            <w:rPr>
              <w:rFonts w:hint="eastAsia" w:ascii="楷体_GB2312" w:hAnsi="楷体_GB2312" w:eastAsia="楷体_GB2312" w:cs="楷体_GB2312"/>
              <w:b/>
              <w:w w:val="85"/>
              <w:kern w:val="0"/>
              <w:sz w:val="28"/>
              <w:szCs w:val="28"/>
            </w:rPr>
            <w:fldChar w:fldCharType="separate"/>
          </w:r>
          <w:r>
            <w:rPr>
              <w:rFonts w:hint="eastAsia" w:ascii="楷体_GB2312" w:hAnsi="楷体_GB2312" w:eastAsia="楷体_GB2312" w:cs="楷体_GB2312"/>
              <w:w w:val="85"/>
              <w:kern w:val="0"/>
              <w:sz w:val="28"/>
              <w:szCs w:val="28"/>
            </w:rPr>
            <w:fldChar w:fldCharType="begin"/>
          </w:r>
          <w:r>
            <w:rPr>
              <w:rFonts w:hint="eastAsia" w:ascii="楷体_GB2312" w:hAnsi="楷体_GB2312" w:eastAsia="楷体_GB2312" w:cs="楷体_GB2312"/>
              <w:w w:val="85"/>
              <w:kern w:val="0"/>
              <w:sz w:val="28"/>
              <w:szCs w:val="28"/>
            </w:rPr>
            <w:instrText xml:space="preserve"> HYPERLINK \l _Toc7696 </w:instrText>
          </w:r>
          <w:r>
            <w:rPr>
              <w:rFonts w:hint="eastAsia" w:ascii="楷体_GB2312" w:hAnsi="楷体_GB2312" w:eastAsia="楷体_GB2312" w:cs="楷体_GB2312"/>
              <w:w w:val="85"/>
              <w:kern w:val="0"/>
              <w:sz w:val="28"/>
              <w:szCs w:val="28"/>
            </w:rPr>
            <w:fldChar w:fldCharType="separate"/>
          </w:r>
          <w:r>
            <w:rPr>
              <w:rFonts w:hint="eastAsia" w:ascii="楷体_GB2312" w:hAnsi="楷体_GB2312" w:eastAsia="楷体_GB2312" w:cs="楷体_GB2312"/>
              <w:sz w:val="28"/>
              <w:szCs w:val="28"/>
            </w:rPr>
            <w:t>一、 基本条件</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_Toc7696 \h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1</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w w:val="85"/>
              <w:kern w:val="0"/>
              <w:sz w:val="28"/>
              <w:szCs w:val="28"/>
            </w:rPr>
            <w:fldChar w:fldCharType="end"/>
          </w:r>
        </w:p>
        <w:p w14:paraId="3D6DCC0F">
          <w:pPr>
            <w:pStyle w:val="12"/>
            <w:keepNext w:val="0"/>
            <w:keepLines w:val="0"/>
            <w:pageBreakBefore w:val="0"/>
            <w:widowControl w:val="0"/>
            <w:kinsoku/>
            <w:wordWrap/>
            <w:overflowPunct/>
            <w:topLinePunct w:val="0"/>
            <w:autoSpaceDE/>
            <w:autoSpaceDN/>
            <w:bidi w:val="0"/>
            <w:spacing w:line="440" w:lineRule="exact"/>
            <w:textAlignment w:val="auto"/>
            <w:rPr>
              <w:rFonts w:hint="eastAsia" w:ascii="楷体_GB2312" w:hAnsi="楷体_GB2312" w:eastAsia="楷体_GB2312" w:cs="楷体_GB2312"/>
              <w:sz w:val="28"/>
              <w:szCs w:val="28"/>
            </w:rPr>
          </w:pPr>
          <w:r>
            <w:rPr>
              <w:rFonts w:hint="eastAsia" w:ascii="楷体_GB2312" w:hAnsi="楷体_GB2312" w:eastAsia="楷体_GB2312" w:cs="楷体_GB2312"/>
              <w:w w:val="85"/>
              <w:kern w:val="0"/>
              <w:sz w:val="28"/>
              <w:szCs w:val="28"/>
            </w:rPr>
            <w:fldChar w:fldCharType="begin"/>
          </w:r>
          <w:r>
            <w:rPr>
              <w:rFonts w:hint="eastAsia" w:ascii="楷体_GB2312" w:hAnsi="楷体_GB2312" w:eastAsia="楷体_GB2312" w:cs="楷体_GB2312"/>
              <w:w w:val="85"/>
              <w:kern w:val="0"/>
              <w:sz w:val="28"/>
              <w:szCs w:val="28"/>
            </w:rPr>
            <w:instrText xml:space="preserve"> HYPERLINK \l _Toc13464 </w:instrText>
          </w:r>
          <w:r>
            <w:rPr>
              <w:rFonts w:hint="eastAsia" w:ascii="楷体_GB2312" w:hAnsi="楷体_GB2312" w:eastAsia="楷体_GB2312" w:cs="楷体_GB2312"/>
              <w:w w:val="85"/>
              <w:kern w:val="0"/>
              <w:sz w:val="28"/>
              <w:szCs w:val="28"/>
            </w:rPr>
            <w:fldChar w:fldCharType="separate"/>
          </w:r>
          <w:r>
            <w:rPr>
              <w:rFonts w:hint="eastAsia" w:ascii="楷体_GB2312" w:hAnsi="楷体_GB2312" w:eastAsia="楷体_GB2312" w:cs="楷体_GB2312"/>
              <w:sz w:val="28"/>
              <w:szCs w:val="28"/>
              <w:lang w:val="en-US" w:eastAsia="zh-CN"/>
            </w:rPr>
            <w:t>二、</w:t>
          </w:r>
          <w:r>
            <w:rPr>
              <w:rFonts w:hint="eastAsia" w:ascii="楷体_GB2312" w:hAnsi="楷体_GB2312" w:eastAsia="楷体_GB2312" w:cs="楷体_GB2312"/>
              <w:sz w:val="28"/>
              <w:szCs w:val="28"/>
            </w:rPr>
            <w:t>不得报考或取消报考（录用）资格的情形</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_Toc13464 \h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1</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w w:val="85"/>
              <w:kern w:val="0"/>
              <w:sz w:val="28"/>
              <w:szCs w:val="28"/>
            </w:rPr>
            <w:fldChar w:fldCharType="end"/>
          </w:r>
        </w:p>
        <w:p w14:paraId="3006892B">
          <w:pPr>
            <w:pStyle w:val="12"/>
            <w:keepNext w:val="0"/>
            <w:keepLines w:val="0"/>
            <w:pageBreakBefore w:val="0"/>
            <w:widowControl w:val="0"/>
            <w:kinsoku/>
            <w:wordWrap/>
            <w:overflowPunct/>
            <w:topLinePunct w:val="0"/>
            <w:autoSpaceDE/>
            <w:autoSpaceDN/>
            <w:bidi w:val="0"/>
            <w:spacing w:line="440" w:lineRule="exact"/>
            <w:textAlignment w:val="auto"/>
            <w:rPr>
              <w:rFonts w:hint="eastAsia" w:ascii="楷体_GB2312" w:hAnsi="楷体_GB2312" w:eastAsia="楷体_GB2312" w:cs="楷体_GB2312"/>
              <w:sz w:val="28"/>
              <w:szCs w:val="28"/>
            </w:rPr>
          </w:pPr>
          <w:r>
            <w:rPr>
              <w:rFonts w:hint="eastAsia" w:ascii="楷体_GB2312" w:hAnsi="楷体_GB2312" w:eastAsia="楷体_GB2312" w:cs="楷体_GB2312"/>
              <w:w w:val="85"/>
              <w:kern w:val="0"/>
              <w:sz w:val="28"/>
              <w:szCs w:val="28"/>
            </w:rPr>
            <w:fldChar w:fldCharType="begin"/>
          </w:r>
          <w:r>
            <w:rPr>
              <w:rFonts w:hint="eastAsia" w:ascii="楷体_GB2312" w:hAnsi="楷体_GB2312" w:eastAsia="楷体_GB2312" w:cs="楷体_GB2312"/>
              <w:w w:val="85"/>
              <w:kern w:val="0"/>
              <w:sz w:val="28"/>
              <w:szCs w:val="28"/>
            </w:rPr>
            <w:instrText xml:space="preserve"> HYPERLINK \l _Toc5752 </w:instrText>
          </w:r>
          <w:r>
            <w:rPr>
              <w:rFonts w:hint="eastAsia" w:ascii="楷体_GB2312" w:hAnsi="楷体_GB2312" w:eastAsia="楷体_GB2312" w:cs="楷体_GB2312"/>
              <w:w w:val="85"/>
              <w:kern w:val="0"/>
              <w:sz w:val="28"/>
              <w:szCs w:val="28"/>
            </w:rPr>
            <w:fldChar w:fldCharType="separate"/>
          </w:r>
          <w:r>
            <w:rPr>
              <w:rFonts w:hint="eastAsia" w:ascii="楷体_GB2312" w:hAnsi="楷体_GB2312" w:eastAsia="楷体_GB2312" w:cs="楷体_GB2312"/>
              <w:sz w:val="28"/>
              <w:szCs w:val="28"/>
              <w:lang w:val="en-US" w:eastAsia="zh-CN"/>
            </w:rPr>
            <w:t>三、</w:t>
          </w:r>
          <w:r>
            <w:rPr>
              <w:rFonts w:hint="eastAsia" w:ascii="楷体_GB2312" w:hAnsi="楷体_GB2312" w:eastAsia="楷体_GB2312" w:cs="楷体_GB2312"/>
              <w:sz w:val="28"/>
              <w:szCs w:val="28"/>
            </w:rPr>
            <w:t>选报岗位须知</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_Toc5752 \h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2</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w w:val="85"/>
              <w:kern w:val="0"/>
              <w:sz w:val="28"/>
              <w:szCs w:val="28"/>
            </w:rPr>
            <w:fldChar w:fldCharType="end"/>
          </w:r>
        </w:p>
        <w:p w14:paraId="781A10A7">
          <w:pPr>
            <w:pStyle w:val="15"/>
            <w:keepNext w:val="0"/>
            <w:keepLines w:val="0"/>
            <w:pageBreakBefore w:val="0"/>
            <w:widowControl w:val="0"/>
            <w:tabs>
              <w:tab w:val="right" w:leader="dot" w:pos="8528"/>
            </w:tabs>
            <w:kinsoku/>
            <w:wordWrap/>
            <w:overflowPunct/>
            <w:topLinePunct w:val="0"/>
            <w:autoSpaceDE/>
            <w:autoSpaceDN/>
            <w:bidi w:val="0"/>
            <w:spacing w:line="440" w:lineRule="exact"/>
            <w:textAlignment w:val="auto"/>
            <w:rPr>
              <w:rFonts w:hint="eastAsia" w:ascii="楷体_GB2312" w:hAnsi="楷体_GB2312" w:eastAsia="楷体_GB2312" w:cs="楷体_GB2312"/>
              <w:sz w:val="28"/>
              <w:szCs w:val="28"/>
            </w:rPr>
          </w:pPr>
          <w:r>
            <w:rPr>
              <w:rFonts w:hint="eastAsia" w:ascii="楷体_GB2312" w:hAnsi="楷体_GB2312" w:eastAsia="楷体_GB2312" w:cs="楷体_GB2312"/>
              <w:w w:val="85"/>
              <w:kern w:val="0"/>
              <w:sz w:val="28"/>
              <w:szCs w:val="28"/>
            </w:rPr>
            <w:fldChar w:fldCharType="begin"/>
          </w:r>
          <w:r>
            <w:rPr>
              <w:rFonts w:hint="eastAsia" w:ascii="楷体_GB2312" w:hAnsi="楷体_GB2312" w:eastAsia="楷体_GB2312" w:cs="楷体_GB2312"/>
              <w:w w:val="85"/>
              <w:kern w:val="0"/>
              <w:sz w:val="28"/>
              <w:szCs w:val="28"/>
            </w:rPr>
            <w:instrText xml:space="preserve"> HYPERLINK \l _Toc9312 </w:instrText>
          </w:r>
          <w:r>
            <w:rPr>
              <w:rFonts w:hint="eastAsia" w:ascii="楷体_GB2312" w:hAnsi="楷体_GB2312" w:eastAsia="楷体_GB2312" w:cs="楷体_GB2312"/>
              <w:w w:val="85"/>
              <w:kern w:val="0"/>
              <w:sz w:val="28"/>
              <w:szCs w:val="28"/>
            </w:rPr>
            <w:fldChar w:fldCharType="separate"/>
          </w:r>
          <w:r>
            <w:rPr>
              <w:rFonts w:hint="eastAsia" w:ascii="楷体_GB2312" w:hAnsi="楷体_GB2312" w:eastAsia="楷体_GB2312" w:cs="楷体_GB2312"/>
              <w:sz w:val="28"/>
              <w:szCs w:val="28"/>
              <w:lang w:eastAsia="zh-CN"/>
            </w:rPr>
            <w:t>（</w:t>
          </w:r>
          <w:r>
            <w:rPr>
              <w:rFonts w:hint="eastAsia" w:ascii="楷体_GB2312" w:hAnsi="楷体_GB2312" w:eastAsia="楷体_GB2312" w:cs="楷体_GB2312"/>
              <w:sz w:val="28"/>
              <w:szCs w:val="28"/>
              <w:lang w:val="en-US" w:eastAsia="zh-CN"/>
            </w:rPr>
            <w:t>一）</w:t>
          </w:r>
          <w:r>
            <w:rPr>
              <w:rFonts w:hint="eastAsia" w:ascii="楷体_GB2312" w:hAnsi="楷体_GB2312" w:eastAsia="楷体_GB2312" w:cs="楷体_GB2312"/>
              <w:sz w:val="28"/>
              <w:szCs w:val="28"/>
            </w:rPr>
            <w:t>报考资格条件确认</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_Toc9312 \h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2</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w w:val="85"/>
              <w:kern w:val="0"/>
              <w:sz w:val="28"/>
              <w:szCs w:val="28"/>
            </w:rPr>
            <w:fldChar w:fldCharType="end"/>
          </w:r>
        </w:p>
        <w:p w14:paraId="1A5751B1">
          <w:pPr>
            <w:pStyle w:val="15"/>
            <w:keepNext w:val="0"/>
            <w:keepLines w:val="0"/>
            <w:pageBreakBefore w:val="0"/>
            <w:widowControl w:val="0"/>
            <w:tabs>
              <w:tab w:val="right" w:leader="dot" w:pos="8528"/>
            </w:tabs>
            <w:kinsoku/>
            <w:wordWrap/>
            <w:overflowPunct/>
            <w:topLinePunct w:val="0"/>
            <w:autoSpaceDE/>
            <w:autoSpaceDN/>
            <w:bidi w:val="0"/>
            <w:spacing w:line="440" w:lineRule="exact"/>
            <w:textAlignment w:val="auto"/>
            <w:rPr>
              <w:rFonts w:hint="eastAsia" w:ascii="楷体_GB2312" w:hAnsi="楷体_GB2312" w:eastAsia="楷体_GB2312" w:cs="楷体_GB2312"/>
              <w:sz w:val="28"/>
              <w:szCs w:val="28"/>
            </w:rPr>
          </w:pPr>
          <w:r>
            <w:rPr>
              <w:rFonts w:hint="eastAsia" w:ascii="楷体_GB2312" w:hAnsi="楷体_GB2312" w:eastAsia="楷体_GB2312" w:cs="楷体_GB2312"/>
              <w:w w:val="85"/>
              <w:kern w:val="0"/>
              <w:sz w:val="28"/>
              <w:szCs w:val="28"/>
            </w:rPr>
            <w:fldChar w:fldCharType="begin"/>
          </w:r>
          <w:r>
            <w:rPr>
              <w:rFonts w:hint="eastAsia" w:ascii="楷体_GB2312" w:hAnsi="楷体_GB2312" w:eastAsia="楷体_GB2312" w:cs="楷体_GB2312"/>
              <w:w w:val="85"/>
              <w:kern w:val="0"/>
              <w:sz w:val="28"/>
              <w:szCs w:val="28"/>
            </w:rPr>
            <w:instrText xml:space="preserve"> HYPERLINK \l _Toc13378 </w:instrText>
          </w:r>
          <w:r>
            <w:rPr>
              <w:rFonts w:hint="eastAsia" w:ascii="楷体_GB2312" w:hAnsi="楷体_GB2312" w:eastAsia="楷体_GB2312" w:cs="楷体_GB2312"/>
              <w:w w:val="85"/>
              <w:kern w:val="0"/>
              <w:sz w:val="28"/>
              <w:szCs w:val="28"/>
            </w:rPr>
            <w:fldChar w:fldCharType="separate"/>
          </w:r>
          <w:r>
            <w:rPr>
              <w:rFonts w:hint="eastAsia" w:ascii="楷体_GB2312" w:hAnsi="楷体_GB2312" w:eastAsia="楷体_GB2312" w:cs="楷体_GB2312"/>
              <w:sz w:val="28"/>
              <w:szCs w:val="28"/>
              <w:lang w:val="en-US" w:eastAsia="zh-CN"/>
            </w:rPr>
            <w:t>（二）</w:t>
          </w:r>
          <w:r>
            <w:rPr>
              <w:rFonts w:hint="eastAsia" w:ascii="楷体_GB2312" w:hAnsi="楷体_GB2312" w:eastAsia="楷体_GB2312" w:cs="楷体_GB2312"/>
              <w:sz w:val="28"/>
              <w:szCs w:val="28"/>
            </w:rPr>
            <w:t>简历填写</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_Toc13378 \h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2</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w w:val="85"/>
              <w:kern w:val="0"/>
              <w:sz w:val="28"/>
              <w:szCs w:val="28"/>
            </w:rPr>
            <w:fldChar w:fldCharType="end"/>
          </w:r>
        </w:p>
        <w:p w14:paraId="2AF7FE4A">
          <w:pPr>
            <w:pStyle w:val="15"/>
            <w:keepNext w:val="0"/>
            <w:keepLines w:val="0"/>
            <w:pageBreakBefore w:val="0"/>
            <w:widowControl w:val="0"/>
            <w:tabs>
              <w:tab w:val="right" w:leader="dot" w:pos="8528"/>
            </w:tabs>
            <w:kinsoku/>
            <w:wordWrap/>
            <w:overflowPunct/>
            <w:topLinePunct w:val="0"/>
            <w:autoSpaceDE/>
            <w:autoSpaceDN/>
            <w:bidi w:val="0"/>
            <w:spacing w:line="440" w:lineRule="exact"/>
            <w:textAlignment w:val="auto"/>
            <w:rPr>
              <w:rFonts w:hint="eastAsia" w:ascii="楷体_GB2312" w:hAnsi="楷体_GB2312" w:eastAsia="楷体_GB2312" w:cs="楷体_GB2312"/>
              <w:sz w:val="28"/>
              <w:szCs w:val="28"/>
            </w:rPr>
          </w:pPr>
          <w:r>
            <w:rPr>
              <w:rFonts w:hint="eastAsia" w:ascii="楷体_GB2312" w:hAnsi="楷体_GB2312" w:eastAsia="楷体_GB2312" w:cs="楷体_GB2312"/>
              <w:w w:val="85"/>
              <w:kern w:val="0"/>
              <w:sz w:val="28"/>
              <w:szCs w:val="28"/>
            </w:rPr>
            <w:fldChar w:fldCharType="begin"/>
          </w:r>
          <w:r>
            <w:rPr>
              <w:rFonts w:hint="eastAsia" w:ascii="楷体_GB2312" w:hAnsi="楷体_GB2312" w:eastAsia="楷体_GB2312" w:cs="楷体_GB2312"/>
              <w:w w:val="85"/>
              <w:kern w:val="0"/>
              <w:sz w:val="28"/>
              <w:szCs w:val="28"/>
            </w:rPr>
            <w:instrText xml:space="preserve"> HYPERLINK \l _Toc6973 </w:instrText>
          </w:r>
          <w:r>
            <w:rPr>
              <w:rFonts w:hint="eastAsia" w:ascii="楷体_GB2312" w:hAnsi="楷体_GB2312" w:eastAsia="楷体_GB2312" w:cs="楷体_GB2312"/>
              <w:w w:val="85"/>
              <w:kern w:val="0"/>
              <w:sz w:val="28"/>
              <w:szCs w:val="28"/>
            </w:rPr>
            <w:fldChar w:fldCharType="separate"/>
          </w:r>
          <w:r>
            <w:rPr>
              <w:rFonts w:hint="eastAsia" w:ascii="楷体_GB2312" w:hAnsi="楷体_GB2312" w:eastAsia="楷体_GB2312" w:cs="楷体_GB2312"/>
              <w:sz w:val="28"/>
              <w:szCs w:val="28"/>
              <w:lang w:eastAsia="zh-CN"/>
            </w:rPr>
            <w:t>（</w:t>
          </w:r>
          <w:r>
            <w:rPr>
              <w:rFonts w:hint="eastAsia" w:ascii="楷体_GB2312" w:hAnsi="楷体_GB2312" w:eastAsia="楷体_GB2312" w:cs="楷体_GB2312"/>
              <w:sz w:val="28"/>
              <w:szCs w:val="28"/>
              <w:lang w:val="en-US" w:eastAsia="zh-CN"/>
            </w:rPr>
            <w:t>三）</w:t>
          </w:r>
          <w:r>
            <w:rPr>
              <w:rFonts w:hint="eastAsia" w:ascii="楷体_GB2312" w:hAnsi="楷体_GB2312" w:eastAsia="楷体_GB2312" w:cs="楷体_GB2312"/>
              <w:sz w:val="28"/>
              <w:szCs w:val="28"/>
            </w:rPr>
            <w:t>年龄的计算办法</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_Toc6973 \h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3</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w w:val="85"/>
              <w:kern w:val="0"/>
              <w:sz w:val="28"/>
              <w:szCs w:val="28"/>
            </w:rPr>
            <w:fldChar w:fldCharType="end"/>
          </w:r>
        </w:p>
        <w:p w14:paraId="5B54FE8F">
          <w:pPr>
            <w:pStyle w:val="12"/>
            <w:keepNext w:val="0"/>
            <w:keepLines w:val="0"/>
            <w:pageBreakBefore w:val="0"/>
            <w:widowControl w:val="0"/>
            <w:kinsoku/>
            <w:wordWrap/>
            <w:overflowPunct/>
            <w:topLinePunct w:val="0"/>
            <w:autoSpaceDE/>
            <w:autoSpaceDN/>
            <w:bidi w:val="0"/>
            <w:spacing w:line="440" w:lineRule="exact"/>
            <w:textAlignment w:val="auto"/>
            <w:rPr>
              <w:rFonts w:hint="eastAsia" w:ascii="楷体_GB2312" w:hAnsi="楷体_GB2312" w:eastAsia="楷体_GB2312" w:cs="楷体_GB2312"/>
              <w:sz w:val="28"/>
              <w:szCs w:val="28"/>
            </w:rPr>
          </w:pPr>
          <w:r>
            <w:rPr>
              <w:rFonts w:hint="eastAsia" w:ascii="楷体_GB2312" w:hAnsi="楷体_GB2312" w:eastAsia="楷体_GB2312" w:cs="楷体_GB2312"/>
              <w:w w:val="85"/>
              <w:kern w:val="0"/>
              <w:sz w:val="28"/>
              <w:szCs w:val="28"/>
            </w:rPr>
            <w:fldChar w:fldCharType="begin"/>
          </w:r>
          <w:r>
            <w:rPr>
              <w:rFonts w:hint="eastAsia" w:ascii="楷体_GB2312" w:hAnsi="楷体_GB2312" w:eastAsia="楷体_GB2312" w:cs="楷体_GB2312"/>
              <w:w w:val="85"/>
              <w:kern w:val="0"/>
              <w:sz w:val="28"/>
              <w:szCs w:val="28"/>
            </w:rPr>
            <w:instrText xml:space="preserve"> HYPERLINK \l _Toc6166 </w:instrText>
          </w:r>
          <w:r>
            <w:rPr>
              <w:rFonts w:hint="eastAsia" w:ascii="楷体_GB2312" w:hAnsi="楷体_GB2312" w:eastAsia="楷体_GB2312" w:cs="楷体_GB2312"/>
              <w:w w:val="85"/>
              <w:kern w:val="0"/>
              <w:sz w:val="28"/>
              <w:szCs w:val="28"/>
            </w:rPr>
            <w:fldChar w:fldCharType="separate"/>
          </w:r>
          <w:r>
            <w:rPr>
              <w:rFonts w:hint="eastAsia" w:ascii="楷体_GB2312" w:hAnsi="楷体_GB2312" w:eastAsia="楷体_GB2312" w:cs="楷体_GB2312"/>
              <w:sz w:val="28"/>
              <w:szCs w:val="28"/>
              <w:lang w:val="en-US" w:eastAsia="zh-CN"/>
            </w:rPr>
            <w:t>四、</w:t>
          </w:r>
          <w:r>
            <w:rPr>
              <w:rFonts w:hint="eastAsia" w:ascii="楷体_GB2312" w:hAnsi="楷体_GB2312" w:eastAsia="楷体_GB2312" w:cs="楷体_GB2312"/>
              <w:sz w:val="28"/>
              <w:szCs w:val="28"/>
            </w:rPr>
            <w:t>回避情形</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_Toc6166 \h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3</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w w:val="85"/>
              <w:kern w:val="0"/>
              <w:sz w:val="28"/>
              <w:szCs w:val="28"/>
            </w:rPr>
            <w:fldChar w:fldCharType="end"/>
          </w:r>
        </w:p>
        <w:p w14:paraId="56FDF475">
          <w:pPr>
            <w:pStyle w:val="12"/>
            <w:keepNext w:val="0"/>
            <w:keepLines w:val="0"/>
            <w:pageBreakBefore w:val="0"/>
            <w:widowControl w:val="0"/>
            <w:kinsoku/>
            <w:wordWrap/>
            <w:overflowPunct/>
            <w:topLinePunct w:val="0"/>
            <w:autoSpaceDE/>
            <w:autoSpaceDN/>
            <w:bidi w:val="0"/>
            <w:spacing w:line="440" w:lineRule="exact"/>
            <w:textAlignment w:val="auto"/>
            <w:rPr>
              <w:rFonts w:hint="eastAsia" w:ascii="楷体_GB2312" w:hAnsi="楷体_GB2312" w:eastAsia="楷体_GB2312" w:cs="楷体_GB2312"/>
              <w:sz w:val="28"/>
              <w:szCs w:val="28"/>
            </w:rPr>
          </w:pPr>
          <w:r>
            <w:rPr>
              <w:rFonts w:hint="eastAsia" w:ascii="楷体_GB2312" w:hAnsi="楷体_GB2312" w:eastAsia="楷体_GB2312" w:cs="楷体_GB2312"/>
              <w:w w:val="85"/>
              <w:kern w:val="0"/>
              <w:sz w:val="28"/>
              <w:szCs w:val="28"/>
            </w:rPr>
            <w:fldChar w:fldCharType="begin"/>
          </w:r>
          <w:r>
            <w:rPr>
              <w:rFonts w:hint="eastAsia" w:ascii="楷体_GB2312" w:hAnsi="楷体_GB2312" w:eastAsia="楷体_GB2312" w:cs="楷体_GB2312"/>
              <w:w w:val="85"/>
              <w:kern w:val="0"/>
              <w:sz w:val="28"/>
              <w:szCs w:val="28"/>
            </w:rPr>
            <w:instrText xml:space="preserve"> HYPERLINK \l _Toc27420 </w:instrText>
          </w:r>
          <w:r>
            <w:rPr>
              <w:rFonts w:hint="eastAsia" w:ascii="楷体_GB2312" w:hAnsi="楷体_GB2312" w:eastAsia="楷体_GB2312" w:cs="楷体_GB2312"/>
              <w:w w:val="85"/>
              <w:kern w:val="0"/>
              <w:sz w:val="28"/>
              <w:szCs w:val="28"/>
            </w:rPr>
            <w:fldChar w:fldCharType="separate"/>
          </w:r>
          <w:r>
            <w:rPr>
              <w:rFonts w:hint="eastAsia" w:ascii="楷体_GB2312" w:hAnsi="楷体_GB2312" w:eastAsia="楷体_GB2312" w:cs="楷体_GB2312"/>
              <w:sz w:val="28"/>
              <w:szCs w:val="28"/>
              <w:lang w:val="en-US" w:eastAsia="zh-CN"/>
            </w:rPr>
            <w:t>五、</w:t>
          </w:r>
          <w:r>
            <w:rPr>
              <w:rFonts w:hint="eastAsia" w:ascii="楷体_GB2312" w:hAnsi="楷体_GB2312" w:eastAsia="楷体_GB2312" w:cs="楷体_GB2312"/>
              <w:sz w:val="28"/>
              <w:szCs w:val="28"/>
            </w:rPr>
            <w:t>学历（位）认定</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_Toc27420 \h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4</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w w:val="85"/>
              <w:kern w:val="0"/>
              <w:sz w:val="28"/>
              <w:szCs w:val="28"/>
            </w:rPr>
            <w:fldChar w:fldCharType="end"/>
          </w:r>
        </w:p>
        <w:p w14:paraId="7BD5C091">
          <w:pPr>
            <w:pStyle w:val="15"/>
            <w:keepNext w:val="0"/>
            <w:keepLines w:val="0"/>
            <w:pageBreakBefore w:val="0"/>
            <w:widowControl w:val="0"/>
            <w:tabs>
              <w:tab w:val="right" w:leader="dot" w:pos="8528"/>
            </w:tabs>
            <w:kinsoku/>
            <w:wordWrap/>
            <w:overflowPunct/>
            <w:topLinePunct w:val="0"/>
            <w:autoSpaceDE/>
            <w:autoSpaceDN/>
            <w:bidi w:val="0"/>
            <w:spacing w:line="440" w:lineRule="exact"/>
            <w:textAlignment w:val="auto"/>
            <w:rPr>
              <w:rFonts w:hint="eastAsia" w:ascii="楷体_GB2312" w:hAnsi="楷体_GB2312" w:eastAsia="楷体_GB2312" w:cs="楷体_GB2312"/>
              <w:sz w:val="28"/>
              <w:szCs w:val="28"/>
            </w:rPr>
          </w:pPr>
          <w:r>
            <w:rPr>
              <w:rFonts w:hint="eastAsia" w:ascii="楷体_GB2312" w:hAnsi="楷体_GB2312" w:eastAsia="楷体_GB2312" w:cs="楷体_GB2312"/>
              <w:w w:val="85"/>
              <w:kern w:val="0"/>
              <w:sz w:val="28"/>
              <w:szCs w:val="28"/>
            </w:rPr>
            <w:fldChar w:fldCharType="begin"/>
          </w:r>
          <w:r>
            <w:rPr>
              <w:rFonts w:hint="eastAsia" w:ascii="楷体_GB2312" w:hAnsi="楷体_GB2312" w:eastAsia="楷体_GB2312" w:cs="楷体_GB2312"/>
              <w:w w:val="85"/>
              <w:kern w:val="0"/>
              <w:sz w:val="28"/>
              <w:szCs w:val="28"/>
            </w:rPr>
            <w:instrText xml:space="preserve"> HYPERLINK \l _Toc14475 </w:instrText>
          </w:r>
          <w:r>
            <w:rPr>
              <w:rFonts w:hint="eastAsia" w:ascii="楷体_GB2312" w:hAnsi="楷体_GB2312" w:eastAsia="楷体_GB2312" w:cs="楷体_GB2312"/>
              <w:w w:val="85"/>
              <w:kern w:val="0"/>
              <w:sz w:val="28"/>
              <w:szCs w:val="28"/>
            </w:rPr>
            <w:fldChar w:fldCharType="separate"/>
          </w:r>
          <w:r>
            <w:rPr>
              <w:rFonts w:hint="eastAsia" w:ascii="楷体_GB2312" w:hAnsi="楷体_GB2312" w:eastAsia="楷体_GB2312" w:cs="楷体_GB2312"/>
              <w:sz w:val="28"/>
              <w:szCs w:val="28"/>
              <w:lang w:val="en-US" w:eastAsia="zh-CN"/>
            </w:rPr>
            <w:t>（一）</w:t>
          </w:r>
          <w:r>
            <w:rPr>
              <w:rFonts w:hint="eastAsia" w:ascii="楷体_GB2312" w:hAnsi="楷体_GB2312" w:eastAsia="楷体_GB2312" w:cs="楷体_GB2312"/>
              <w:sz w:val="28"/>
              <w:szCs w:val="28"/>
            </w:rPr>
            <w:t>境内学历（位）</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_Toc14475 \h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4</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w w:val="85"/>
              <w:kern w:val="0"/>
              <w:sz w:val="28"/>
              <w:szCs w:val="28"/>
            </w:rPr>
            <w:fldChar w:fldCharType="end"/>
          </w:r>
        </w:p>
        <w:p w14:paraId="7BC8956B">
          <w:pPr>
            <w:pStyle w:val="15"/>
            <w:keepNext w:val="0"/>
            <w:keepLines w:val="0"/>
            <w:pageBreakBefore w:val="0"/>
            <w:widowControl w:val="0"/>
            <w:tabs>
              <w:tab w:val="right" w:leader="dot" w:pos="8528"/>
            </w:tabs>
            <w:kinsoku/>
            <w:wordWrap/>
            <w:overflowPunct/>
            <w:topLinePunct w:val="0"/>
            <w:autoSpaceDE/>
            <w:autoSpaceDN/>
            <w:bidi w:val="0"/>
            <w:spacing w:line="440" w:lineRule="exact"/>
            <w:textAlignment w:val="auto"/>
            <w:rPr>
              <w:rFonts w:hint="eastAsia" w:ascii="楷体_GB2312" w:hAnsi="楷体_GB2312" w:eastAsia="楷体_GB2312" w:cs="楷体_GB2312"/>
              <w:sz w:val="28"/>
              <w:szCs w:val="28"/>
            </w:rPr>
          </w:pPr>
          <w:r>
            <w:rPr>
              <w:rFonts w:hint="eastAsia" w:ascii="楷体_GB2312" w:hAnsi="楷体_GB2312" w:eastAsia="楷体_GB2312" w:cs="楷体_GB2312"/>
              <w:w w:val="85"/>
              <w:kern w:val="0"/>
              <w:sz w:val="28"/>
              <w:szCs w:val="28"/>
            </w:rPr>
            <w:fldChar w:fldCharType="begin"/>
          </w:r>
          <w:r>
            <w:rPr>
              <w:rFonts w:hint="eastAsia" w:ascii="楷体_GB2312" w:hAnsi="楷体_GB2312" w:eastAsia="楷体_GB2312" w:cs="楷体_GB2312"/>
              <w:w w:val="85"/>
              <w:kern w:val="0"/>
              <w:sz w:val="28"/>
              <w:szCs w:val="28"/>
            </w:rPr>
            <w:instrText xml:space="preserve"> HYPERLINK \l _Toc21286 </w:instrText>
          </w:r>
          <w:r>
            <w:rPr>
              <w:rFonts w:hint="eastAsia" w:ascii="楷体_GB2312" w:hAnsi="楷体_GB2312" w:eastAsia="楷体_GB2312" w:cs="楷体_GB2312"/>
              <w:w w:val="85"/>
              <w:kern w:val="0"/>
              <w:sz w:val="28"/>
              <w:szCs w:val="28"/>
            </w:rPr>
            <w:fldChar w:fldCharType="separate"/>
          </w:r>
          <w:r>
            <w:rPr>
              <w:rFonts w:hint="eastAsia" w:ascii="楷体_GB2312" w:hAnsi="楷体_GB2312" w:eastAsia="楷体_GB2312" w:cs="楷体_GB2312"/>
              <w:sz w:val="28"/>
              <w:szCs w:val="28"/>
              <w:lang w:val="en-US" w:eastAsia="zh-CN"/>
            </w:rPr>
            <w:t>（二）</w:t>
          </w:r>
          <w:r>
            <w:rPr>
              <w:rFonts w:hint="eastAsia" w:ascii="楷体_GB2312" w:hAnsi="楷体_GB2312" w:eastAsia="楷体_GB2312" w:cs="楷体_GB2312"/>
              <w:sz w:val="28"/>
              <w:szCs w:val="28"/>
            </w:rPr>
            <w:t>第二学士学位</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_Toc21286 \h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5</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w w:val="85"/>
              <w:kern w:val="0"/>
              <w:sz w:val="28"/>
              <w:szCs w:val="28"/>
            </w:rPr>
            <w:fldChar w:fldCharType="end"/>
          </w:r>
        </w:p>
        <w:p w14:paraId="4D66A856">
          <w:pPr>
            <w:pStyle w:val="15"/>
            <w:keepNext w:val="0"/>
            <w:keepLines w:val="0"/>
            <w:pageBreakBefore w:val="0"/>
            <w:widowControl w:val="0"/>
            <w:tabs>
              <w:tab w:val="right" w:leader="dot" w:pos="8528"/>
            </w:tabs>
            <w:kinsoku/>
            <w:wordWrap/>
            <w:overflowPunct/>
            <w:topLinePunct w:val="0"/>
            <w:autoSpaceDE/>
            <w:autoSpaceDN/>
            <w:bidi w:val="0"/>
            <w:spacing w:line="440" w:lineRule="exact"/>
            <w:textAlignment w:val="auto"/>
            <w:rPr>
              <w:rFonts w:hint="eastAsia" w:ascii="楷体_GB2312" w:hAnsi="楷体_GB2312" w:eastAsia="楷体_GB2312" w:cs="楷体_GB2312"/>
              <w:sz w:val="28"/>
              <w:szCs w:val="28"/>
            </w:rPr>
          </w:pPr>
          <w:r>
            <w:rPr>
              <w:rFonts w:hint="eastAsia" w:ascii="楷体_GB2312" w:hAnsi="楷体_GB2312" w:eastAsia="楷体_GB2312" w:cs="楷体_GB2312"/>
              <w:w w:val="85"/>
              <w:kern w:val="0"/>
              <w:sz w:val="28"/>
              <w:szCs w:val="28"/>
            </w:rPr>
            <w:fldChar w:fldCharType="begin"/>
          </w:r>
          <w:r>
            <w:rPr>
              <w:rFonts w:hint="eastAsia" w:ascii="楷体_GB2312" w:hAnsi="楷体_GB2312" w:eastAsia="楷体_GB2312" w:cs="楷体_GB2312"/>
              <w:w w:val="85"/>
              <w:kern w:val="0"/>
              <w:sz w:val="28"/>
              <w:szCs w:val="28"/>
            </w:rPr>
            <w:instrText xml:space="preserve"> HYPERLINK \l _Toc14159 </w:instrText>
          </w:r>
          <w:r>
            <w:rPr>
              <w:rFonts w:hint="eastAsia" w:ascii="楷体_GB2312" w:hAnsi="楷体_GB2312" w:eastAsia="楷体_GB2312" w:cs="楷体_GB2312"/>
              <w:w w:val="85"/>
              <w:kern w:val="0"/>
              <w:sz w:val="28"/>
              <w:szCs w:val="28"/>
            </w:rPr>
            <w:fldChar w:fldCharType="separate"/>
          </w:r>
          <w:r>
            <w:rPr>
              <w:rFonts w:hint="eastAsia" w:ascii="楷体_GB2312" w:hAnsi="楷体_GB2312" w:eastAsia="楷体_GB2312" w:cs="楷体_GB2312"/>
              <w:sz w:val="28"/>
              <w:szCs w:val="28"/>
              <w:lang w:val="en-US" w:eastAsia="zh-CN"/>
            </w:rPr>
            <w:t>（三）</w:t>
          </w:r>
          <w:r>
            <w:rPr>
              <w:rFonts w:hint="eastAsia" w:ascii="楷体_GB2312" w:hAnsi="楷体_GB2312" w:eastAsia="楷体_GB2312" w:cs="楷体_GB2312"/>
              <w:sz w:val="28"/>
              <w:szCs w:val="28"/>
            </w:rPr>
            <w:t>国（境）外学历（位）</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_Toc14159 \h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5</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w w:val="85"/>
              <w:kern w:val="0"/>
              <w:sz w:val="28"/>
              <w:szCs w:val="28"/>
            </w:rPr>
            <w:fldChar w:fldCharType="end"/>
          </w:r>
        </w:p>
        <w:p w14:paraId="049E8273">
          <w:pPr>
            <w:pStyle w:val="15"/>
            <w:keepNext w:val="0"/>
            <w:keepLines w:val="0"/>
            <w:pageBreakBefore w:val="0"/>
            <w:widowControl w:val="0"/>
            <w:tabs>
              <w:tab w:val="right" w:leader="dot" w:pos="8528"/>
            </w:tabs>
            <w:kinsoku/>
            <w:wordWrap/>
            <w:overflowPunct/>
            <w:topLinePunct w:val="0"/>
            <w:autoSpaceDE/>
            <w:autoSpaceDN/>
            <w:bidi w:val="0"/>
            <w:spacing w:line="440" w:lineRule="exact"/>
            <w:textAlignment w:val="auto"/>
            <w:rPr>
              <w:rFonts w:hint="eastAsia" w:ascii="楷体_GB2312" w:hAnsi="楷体_GB2312" w:eastAsia="楷体_GB2312" w:cs="楷体_GB2312"/>
              <w:sz w:val="28"/>
              <w:szCs w:val="28"/>
            </w:rPr>
          </w:pPr>
          <w:r>
            <w:rPr>
              <w:rFonts w:hint="eastAsia" w:ascii="楷体_GB2312" w:hAnsi="楷体_GB2312" w:eastAsia="楷体_GB2312" w:cs="楷体_GB2312"/>
              <w:w w:val="85"/>
              <w:kern w:val="0"/>
              <w:sz w:val="28"/>
              <w:szCs w:val="28"/>
            </w:rPr>
            <w:fldChar w:fldCharType="begin"/>
          </w:r>
          <w:r>
            <w:rPr>
              <w:rFonts w:hint="eastAsia" w:ascii="楷体_GB2312" w:hAnsi="楷体_GB2312" w:eastAsia="楷体_GB2312" w:cs="楷体_GB2312"/>
              <w:w w:val="85"/>
              <w:kern w:val="0"/>
              <w:sz w:val="28"/>
              <w:szCs w:val="28"/>
            </w:rPr>
            <w:instrText xml:space="preserve"> HYPERLINK \l _Toc30934 </w:instrText>
          </w:r>
          <w:r>
            <w:rPr>
              <w:rFonts w:hint="eastAsia" w:ascii="楷体_GB2312" w:hAnsi="楷体_GB2312" w:eastAsia="楷体_GB2312" w:cs="楷体_GB2312"/>
              <w:w w:val="85"/>
              <w:kern w:val="0"/>
              <w:sz w:val="28"/>
              <w:szCs w:val="28"/>
            </w:rPr>
            <w:fldChar w:fldCharType="separate"/>
          </w:r>
          <w:r>
            <w:rPr>
              <w:rFonts w:hint="eastAsia" w:ascii="楷体_GB2312" w:hAnsi="楷体_GB2312" w:eastAsia="楷体_GB2312" w:cs="楷体_GB2312"/>
              <w:sz w:val="28"/>
              <w:szCs w:val="28"/>
              <w:lang w:eastAsia="zh-CN"/>
            </w:rPr>
            <w:t>（</w:t>
          </w:r>
          <w:r>
            <w:rPr>
              <w:rFonts w:hint="eastAsia" w:ascii="楷体_GB2312" w:hAnsi="楷体_GB2312" w:eastAsia="楷体_GB2312" w:cs="楷体_GB2312"/>
              <w:sz w:val="28"/>
              <w:szCs w:val="28"/>
              <w:lang w:val="en-US" w:eastAsia="zh-CN"/>
            </w:rPr>
            <w:t>四）</w:t>
          </w:r>
          <w:r>
            <w:rPr>
              <w:rFonts w:hint="eastAsia" w:ascii="楷体_GB2312" w:hAnsi="楷体_GB2312" w:eastAsia="楷体_GB2312" w:cs="楷体_GB2312"/>
              <w:sz w:val="28"/>
              <w:szCs w:val="28"/>
            </w:rPr>
            <w:t>我省“双学位”“双专业”学历</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_Toc30934 \h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5</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w w:val="85"/>
              <w:kern w:val="0"/>
              <w:sz w:val="28"/>
              <w:szCs w:val="28"/>
            </w:rPr>
            <w:fldChar w:fldCharType="end"/>
          </w:r>
        </w:p>
        <w:p w14:paraId="30CC941B">
          <w:pPr>
            <w:pStyle w:val="12"/>
            <w:keepNext w:val="0"/>
            <w:keepLines w:val="0"/>
            <w:pageBreakBefore w:val="0"/>
            <w:widowControl w:val="0"/>
            <w:kinsoku/>
            <w:wordWrap/>
            <w:overflowPunct/>
            <w:topLinePunct w:val="0"/>
            <w:autoSpaceDE/>
            <w:autoSpaceDN/>
            <w:bidi w:val="0"/>
            <w:spacing w:line="440" w:lineRule="exact"/>
            <w:textAlignment w:val="auto"/>
            <w:rPr>
              <w:rFonts w:hint="eastAsia" w:ascii="楷体_GB2312" w:hAnsi="楷体_GB2312" w:eastAsia="楷体_GB2312" w:cs="楷体_GB2312"/>
              <w:sz w:val="28"/>
              <w:szCs w:val="28"/>
            </w:rPr>
          </w:pPr>
          <w:r>
            <w:rPr>
              <w:rFonts w:hint="eastAsia" w:ascii="楷体_GB2312" w:hAnsi="楷体_GB2312" w:eastAsia="楷体_GB2312" w:cs="楷体_GB2312"/>
              <w:w w:val="85"/>
              <w:kern w:val="0"/>
              <w:sz w:val="28"/>
              <w:szCs w:val="28"/>
            </w:rPr>
            <w:fldChar w:fldCharType="begin"/>
          </w:r>
          <w:r>
            <w:rPr>
              <w:rFonts w:hint="eastAsia" w:ascii="楷体_GB2312" w:hAnsi="楷体_GB2312" w:eastAsia="楷体_GB2312" w:cs="楷体_GB2312"/>
              <w:w w:val="85"/>
              <w:kern w:val="0"/>
              <w:sz w:val="28"/>
              <w:szCs w:val="28"/>
            </w:rPr>
            <w:instrText xml:space="preserve"> HYPERLINK \l _Toc3176 </w:instrText>
          </w:r>
          <w:r>
            <w:rPr>
              <w:rFonts w:hint="eastAsia" w:ascii="楷体_GB2312" w:hAnsi="楷体_GB2312" w:eastAsia="楷体_GB2312" w:cs="楷体_GB2312"/>
              <w:w w:val="85"/>
              <w:kern w:val="0"/>
              <w:sz w:val="28"/>
              <w:szCs w:val="28"/>
            </w:rPr>
            <w:fldChar w:fldCharType="separate"/>
          </w:r>
          <w:r>
            <w:rPr>
              <w:rFonts w:hint="eastAsia" w:ascii="楷体_GB2312" w:hAnsi="楷体_GB2312" w:eastAsia="楷体_GB2312" w:cs="楷体_GB2312"/>
              <w:sz w:val="28"/>
              <w:szCs w:val="28"/>
              <w:lang w:val="en-US" w:eastAsia="zh-CN"/>
            </w:rPr>
            <w:t>六、</w:t>
          </w:r>
          <w:r>
            <w:rPr>
              <w:rFonts w:hint="eastAsia" w:ascii="楷体_GB2312" w:hAnsi="楷体_GB2312" w:eastAsia="楷体_GB2312" w:cs="楷体_GB2312"/>
              <w:sz w:val="28"/>
              <w:szCs w:val="28"/>
            </w:rPr>
            <w:t>专业</w:t>
          </w:r>
          <w:r>
            <w:rPr>
              <w:rFonts w:hint="eastAsia" w:ascii="楷体_GB2312" w:hAnsi="楷体_GB2312" w:eastAsia="楷体_GB2312" w:cs="楷体_GB2312"/>
              <w:sz w:val="28"/>
              <w:szCs w:val="28"/>
              <w:lang w:val="en-US" w:eastAsia="zh-CN"/>
            </w:rPr>
            <w:t>说明</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_Toc3176 \h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5</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w w:val="85"/>
              <w:kern w:val="0"/>
              <w:sz w:val="28"/>
              <w:szCs w:val="28"/>
            </w:rPr>
            <w:fldChar w:fldCharType="end"/>
          </w:r>
        </w:p>
        <w:p w14:paraId="673B2077">
          <w:pPr>
            <w:pStyle w:val="15"/>
            <w:keepNext w:val="0"/>
            <w:keepLines w:val="0"/>
            <w:pageBreakBefore w:val="0"/>
            <w:widowControl w:val="0"/>
            <w:tabs>
              <w:tab w:val="right" w:leader="dot" w:pos="8528"/>
            </w:tabs>
            <w:kinsoku/>
            <w:wordWrap/>
            <w:overflowPunct/>
            <w:topLinePunct w:val="0"/>
            <w:autoSpaceDE/>
            <w:autoSpaceDN/>
            <w:bidi w:val="0"/>
            <w:spacing w:line="440" w:lineRule="exact"/>
            <w:textAlignment w:val="auto"/>
            <w:rPr>
              <w:rFonts w:hint="eastAsia" w:ascii="楷体_GB2312" w:hAnsi="楷体_GB2312" w:eastAsia="楷体_GB2312" w:cs="楷体_GB2312"/>
              <w:sz w:val="28"/>
              <w:szCs w:val="28"/>
            </w:rPr>
          </w:pPr>
          <w:r>
            <w:rPr>
              <w:rFonts w:hint="eastAsia" w:ascii="楷体_GB2312" w:hAnsi="楷体_GB2312" w:eastAsia="楷体_GB2312" w:cs="楷体_GB2312"/>
              <w:w w:val="85"/>
              <w:kern w:val="0"/>
              <w:sz w:val="28"/>
              <w:szCs w:val="28"/>
            </w:rPr>
            <w:fldChar w:fldCharType="begin"/>
          </w:r>
          <w:r>
            <w:rPr>
              <w:rFonts w:hint="eastAsia" w:ascii="楷体_GB2312" w:hAnsi="楷体_GB2312" w:eastAsia="楷体_GB2312" w:cs="楷体_GB2312"/>
              <w:w w:val="85"/>
              <w:kern w:val="0"/>
              <w:sz w:val="28"/>
              <w:szCs w:val="28"/>
            </w:rPr>
            <w:instrText xml:space="preserve"> HYPERLINK \l _Toc8876 </w:instrText>
          </w:r>
          <w:r>
            <w:rPr>
              <w:rFonts w:hint="eastAsia" w:ascii="楷体_GB2312" w:hAnsi="楷体_GB2312" w:eastAsia="楷体_GB2312" w:cs="楷体_GB2312"/>
              <w:w w:val="85"/>
              <w:kern w:val="0"/>
              <w:sz w:val="28"/>
              <w:szCs w:val="28"/>
            </w:rPr>
            <w:fldChar w:fldCharType="separate"/>
          </w:r>
          <w:r>
            <w:rPr>
              <w:rFonts w:hint="eastAsia" w:ascii="楷体_GB2312" w:hAnsi="楷体_GB2312" w:eastAsia="楷体_GB2312" w:cs="楷体_GB2312"/>
              <w:sz w:val="28"/>
              <w:szCs w:val="28"/>
              <w:lang w:val="en-US" w:eastAsia="zh-CN"/>
            </w:rPr>
            <w:t>（一）</w:t>
          </w:r>
          <w:r>
            <w:rPr>
              <w:rFonts w:hint="eastAsia" w:ascii="楷体_GB2312" w:hAnsi="楷体_GB2312" w:eastAsia="楷体_GB2312" w:cs="楷体_GB2312"/>
              <w:sz w:val="28"/>
              <w:szCs w:val="28"/>
            </w:rPr>
            <w:t>填报专业名称</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_Toc8876 \h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5</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w w:val="85"/>
              <w:kern w:val="0"/>
              <w:sz w:val="28"/>
              <w:szCs w:val="28"/>
            </w:rPr>
            <w:fldChar w:fldCharType="end"/>
          </w:r>
        </w:p>
        <w:p w14:paraId="5576A025">
          <w:pPr>
            <w:pStyle w:val="15"/>
            <w:keepNext w:val="0"/>
            <w:keepLines w:val="0"/>
            <w:pageBreakBefore w:val="0"/>
            <w:widowControl w:val="0"/>
            <w:tabs>
              <w:tab w:val="right" w:leader="dot" w:pos="8528"/>
            </w:tabs>
            <w:kinsoku/>
            <w:wordWrap/>
            <w:overflowPunct/>
            <w:topLinePunct w:val="0"/>
            <w:autoSpaceDE/>
            <w:autoSpaceDN/>
            <w:bidi w:val="0"/>
            <w:spacing w:line="440" w:lineRule="exact"/>
            <w:textAlignment w:val="auto"/>
            <w:rPr>
              <w:rFonts w:hint="eastAsia" w:ascii="楷体_GB2312" w:hAnsi="楷体_GB2312" w:eastAsia="楷体_GB2312" w:cs="楷体_GB2312"/>
              <w:sz w:val="28"/>
              <w:szCs w:val="28"/>
            </w:rPr>
          </w:pPr>
          <w:r>
            <w:rPr>
              <w:rFonts w:hint="eastAsia" w:ascii="楷体_GB2312" w:hAnsi="楷体_GB2312" w:eastAsia="楷体_GB2312" w:cs="楷体_GB2312"/>
              <w:w w:val="85"/>
              <w:kern w:val="0"/>
              <w:sz w:val="28"/>
              <w:szCs w:val="28"/>
            </w:rPr>
            <w:fldChar w:fldCharType="begin"/>
          </w:r>
          <w:r>
            <w:rPr>
              <w:rFonts w:hint="eastAsia" w:ascii="楷体_GB2312" w:hAnsi="楷体_GB2312" w:eastAsia="楷体_GB2312" w:cs="楷体_GB2312"/>
              <w:w w:val="85"/>
              <w:kern w:val="0"/>
              <w:sz w:val="28"/>
              <w:szCs w:val="28"/>
            </w:rPr>
            <w:instrText xml:space="preserve"> HYPERLINK \l _Toc8357 </w:instrText>
          </w:r>
          <w:r>
            <w:rPr>
              <w:rFonts w:hint="eastAsia" w:ascii="楷体_GB2312" w:hAnsi="楷体_GB2312" w:eastAsia="楷体_GB2312" w:cs="楷体_GB2312"/>
              <w:w w:val="85"/>
              <w:kern w:val="0"/>
              <w:sz w:val="28"/>
              <w:szCs w:val="28"/>
            </w:rPr>
            <w:fldChar w:fldCharType="separate"/>
          </w:r>
          <w:r>
            <w:rPr>
              <w:rFonts w:hint="eastAsia" w:ascii="楷体_GB2312" w:hAnsi="楷体_GB2312" w:eastAsia="楷体_GB2312" w:cs="楷体_GB2312"/>
              <w:sz w:val="28"/>
              <w:szCs w:val="28"/>
              <w:lang w:val="en-US" w:eastAsia="zh-CN"/>
            </w:rPr>
            <w:t>（二）</w:t>
          </w:r>
          <w:r>
            <w:rPr>
              <w:rFonts w:hint="eastAsia" w:ascii="楷体_GB2312" w:hAnsi="楷体_GB2312" w:eastAsia="楷体_GB2312" w:cs="楷体_GB2312"/>
              <w:sz w:val="28"/>
              <w:szCs w:val="28"/>
            </w:rPr>
            <w:t>专业与学历（位）的对应关系</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_Toc8357 \h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6</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w w:val="85"/>
              <w:kern w:val="0"/>
              <w:sz w:val="28"/>
              <w:szCs w:val="28"/>
            </w:rPr>
            <w:fldChar w:fldCharType="end"/>
          </w:r>
        </w:p>
        <w:p w14:paraId="17A32C5C">
          <w:pPr>
            <w:pStyle w:val="15"/>
            <w:keepNext w:val="0"/>
            <w:keepLines w:val="0"/>
            <w:pageBreakBefore w:val="0"/>
            <w:widowControl w:val="0"/>
            <w:tabs>
              <w:tab w:val="right" w:leader="dot" w:pos="8528"/>
            </w:tabs>
            <w:kinsoku/>
            <w:wordWrap/>
            <w:overflowPunct/>
            <w:topLinePunct w:val="0"/>
            <w:autoSpaceDE/>
            <w:autoSpaceDN/>
            <w:bidi w:val="0"/>
            <w:spacing w:line="440" w:lineRule="exact"/>
            <w:textAlignment w:val="auto"/>
            <w:rPr>
              <w:rFonts w:hint="eastAsia" w:ascii="楷体_GB2312" w:hAnsi="楷体_GB2312" w:eastAsia="楷体_GB2312" w:cs="楷体_GB2312"/>
              <w:sz w:val="28"/>
              <w:szCs w:val="28"/>
            </w:rPr>
          </w:pPr>
          <w:r>
            <w:rPr>
              <w:rFonts w:hint="eastAsia" w:ascii="楷体_GB2312" w:hAnsi="楷体_GB2312" w:eastAsia="楷体_GB2312" w:cs="楷体_GB2312"/>
              <w:w w:val="85"/>
              <w:kern w:val="0"/>
              <w:sz w:val="28"/>
              <w:szCs w:val="28"/>
            </w:rPr>
            <w:fldChar w:fldCharType="begin"/>
          </w:r>
          <w:r>
            <w:rPr>
              <w:rFonts w:hint="eastAsia" w:ascii="楷体_GB2312" w:hAnsi="楷体_GB2312" w:eastAsia="楷体_GB2312" w:cs="楷体_GB2312"/>
              <w:w w:val="85"/>
              <w:kern w:val="0"/>
              <w:sz w:val="28"/>
              <w:szCs w:val="28"/>
            </w:rPr>
            <w:instrText xml:space="preserve"> HYPERLINK \l _Toc2398 </w:instrText>
          </w:r>
          <w:r>
            <w:rPr>
              <w:rFonts w:hint="eastAsia" w:ascii="楷体_GB2312" w:hAnsi="楷体_GB2312" w:eastAsia="楷体_GB2312" w:cs="楷体_GB2312"/>
              <w:w w:val="85"/>
              <w:kern w:val="0"/>
              <w:sz w:val="28"/>
              <w:szCs w:val="28"/>
            </w:rPr>
            <w:fldChar w:fldCharType="separate"/>
          </w:r>
          <w:r>
            <w:rPr>
              <w:rFonts w:hint="eastAsia" w:ascii="楷体_GB2312" w:hAnsi="楷体_GB2312" w:eastAsia="楷体_GB2312" w:cs="楷体_GB2312"/>
              <w:sz w:val="28"/>
              <w:szCs w:val="28"/>
              <w:lang w:val="en-US" w:eastAsia="zh-CN"/>
            </w:rPr>
            <w:t>（三）</w:t>
          </w:r>
          <w:r>
            <w:rPr>
              <w:rFonts w:hint="eastAsia" w:ascii="楷体_GB2312" w:hAnsi="楷体_GB2312" w:eastAsia="楷体_GB2312" w:cs="楷体_GB2312"/>
              <w:sz w:val="28"/>
              <w:szCs w:val="28"/>
            </w:rPr>
            <w:t>专业资格的认定</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_Toc2398 \h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7</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w w:val="85"/>
              <w:kern w:val="0"/>
              <w:sz w:val="28"/>
              <w:szCs w:val="28"/>
            </w:rPr>
            <w:fldChar w:fldCharType="end"/>
          </w:r>
        </w:p>
        <w:p w14:paraId="555AF904">
          <w:pPr>
            <w:pStyle w:val="12"/>
            <w:keepNext w:val="0"/>
            <w:keepLines w:val="0"/>
            <w:pageBreakBefore w:val="0"/>
            <w:widowControl w:val="0"/>
            <w:kinsoku/>
            <w:wordWrap/>
            <w:overflowPunct/>
            <w:topLinePunct w:val="0"/>
            <w:autoSpaceDE/>
            <w:autoSpaceDN/>
            <w:bidi w:val="0"/>
            <w:spacing w:line="440" w:lineRule="exact"/>
            <w:textAlignment w:val="auto"/>
            <w:rPr>
              <w:rFonts w:hint="eastAsia" w:ascii="楷体_GB2312" w:hAnsi="楷体_GB2312" w:eastAsia="楷体_GB2312" w:cs="楷体_GB2312"/>
              <w:sz w:val="28"/>
              <w:szCs w:val="28"/>
            </w:rPr>
          </w:pPr>
          <w:r>
            <w:rPr>
              <w:rFonts w:hint="eastAsia" w:ascii="楷体_GB2312" w:hAnsi="楷体_GB2312" w:eastAsia="楷体_GB2312" w:cs="楷体_GB2312"/>
              <w:w w:val="85"/>
              <w:kern w:val="0"/>
              <w:sz w:val="28"/>
              <w:szCs w:val="28"/>
            </w:rPr>
            <w:fldChar w:fldCharType="begin"/>
          </w:r>
          <w:r>
            <w:rPr>
              <w:rFonts w:hint="eastAsia" w:ascii="楷体_GB2312" w:hAnsi="楷体_GB2312" w:eastAsia="楷体_GB2312" w:cs="楷体_GB2312"/>
              <w:w w:val="85"/>
              <w:kern w:val="0"/>
              <w:sz w:val="28"/>
              <w:szCs w:val="28"/>
            </w:rPr>
            <w:instrText xml:space="preserve"> HYPERLINK \l _Toc30842 </w:instrText>
          </w:r>
          <w:r>
            <w:rPr>
              <w:rFonts w:hint="eastAsia" w:ascii="楷体_GB2312" w:hAnsi="楷体_GB2312" w:eastAsia="楷体_GB2312" w:cs="楷体_GB2312"/>
              <w:w w:val="85"/>
              <w:kern w:val="0"/>
              <w:sz w:val="28"/>
              <w:szCs w:val="28"/>
            </w:rPr>
            <w:fldChar w:fldCharType="separate"/>
          </w:r>
          <w:r>
            <w:rPr>
              <w:rFonts w:hint="eastAsia" w:ascii="楷体_GB2312" w:hAnsi="楷体_GB2312" w:eastAsia="楷体_GB2312" w:cs="楷体_GB2312"/>
              <w:sz w:val="28"/>
              <w:szCs w:val="28"/>
              <w:lang w:val="en-US" w:eastAsia="zh-CN"/>
            </w:rPr>
            <w:t>七、工作经历</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_Toc30842 \h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7</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w w:val="85"/>
              <w:kern w:val="0"/>
              <w:sz w:val="28"/>
              <w:szCs w:val="28"/>
            </w:rPr>
            <w:fldChar w:fldCharType="end"/>
          </w:r>
        </w:p>
        <w:p w14:paraId="31C04512">
          <w:pPr>
            <w:pStyle w:val="12"/>
            <w:keepNext w:val="0"/>
            <w:keepLines w:val="0"/>
            <w:pageBreakBefore w:val="0"/>
            <w:widowControl w:val="0"/>
            <w:kinsoku/>
            <w:wordWrap/>
            <w:overflowPunct/>
            <w:topLinePunct w:val="0"/>
            <w:autoSpaceDE/>
            <w:autoSpaceDN/>
            <w:bidi w:val="0"/>
            <w:spacing w:line="440" w:lineRule="exact"/>
            <w:textAlignment w:val="auto"/>
            <w:rPr>
              <w:rFonts w:hint="eastAsia" w:ascii="楷体_GB2312" w:hAnsi="楷体_GB2312" w:eastAsia="楷体_GB2312" w:cs="楷体_GB2312"/>
              <w:sz w:val="28"/>
              <w:szCs w:val="28"/>
            </w:rPr>
          </w:pPr>
          <w:r>
            <w:rPr>
              <w:rFonts w:hint="eastAsia" w:ascii="楷体_GB2312" w:hAnsi="楷体_GB2312" w:eastAsia="楷体_GB2312" w:cs="楷体_GB2312"/>
              <w:w w:val="85"/>
              <w:kern w:val="0"/>
              <w:sz w:val="28"/>
              <w:szCs w:val="28"/>
            </w:rPr>
            <w:fldChar w:fldCharType="begin"/>
          </w:r>
          <w:r>
            <w:rPr>
              <w:rFonts w:hint="eastAsia" w:ascii="楷体_GB2312" w:hAnsi="楷体_GB2312" w:eastAsia="楷体_GB2312" w:cs="楷体_GB2312"/>
              <w:w w:val="85"/>
              <w:kern w:val="0"/>
              <w:sz w:val="28"/>
              <w:szCs w:val="28"/>
            </w:rPr>
            <w:instrText xml:space="preserve"> HYPERLINK \l _Toc31678 </w:instrText>
          </w:r>
          <w:r>
            <w:rPr>
              <w:rFonts w:hint="eastAsia" w:ascii="楷体_GB2312" w:hAnsi="楷体_GB2312" w:eastAsia="楷体_GB2312" w:cs="楷体_GB2312"/>
              <w:w w:val="85"/>
              <w:kern w:val="0"/>
              <w:sz w:val="28"/>
              <w:szCs w:val="28"/>
            </w:rPr>
            <w:fldChar w:fldCharType="separate"/>
          </w:r>
          <w:r>
            <w:rPr>
              <w:rFonts w:hint="eastAsia" w:ascii="楷体_GB2312" w:hAnsi="楷体_GB2312" w:eastAsia="楷体_GB2312" w:cs="楷体_GB2312"/>
              <w:sz w:val="28"/>
              <w:szCs w:val="28"/>
              <w:lang w:val="en-US" w:eastAsia="zh-CN"/>
            </w:rPr>
            <w:t>八、</w:t>
          </w:r>
          <w:r>
            <w:rPr>
              <w:rFonts w:hint="eastAsia" w:ascii="楷体_GB2312" w:hAnsi="楷体_GB2312" w:eastAsia="楷体_GB2312" w:cs="楷体_GB2312"/>
              <w:sz w:val="28"/>
              <w:szCs w:val="28"/>
            </w:rPr>
            <w:t>开考比例</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_Toc31678 \h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8</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w w:val="85"/>
              <w:kern w:val="0"/>
              <w:sz w:val="28"/>
              <w:szCs w:val="28"/>
            </w:rPr>
            <w:fldChar w:fldCharType="end"/>
          </w:r>
        </w:p>
        <w:p w14:paraId="382C9B0F">
          <w:pPr>
            <w:pStyle w:val="12"/>
            <w:keepNext w:val="0"/>
            <w:keepLines w:val="0"/>
            <w:pageBreakBefore w:val="0"/>
            <w:widowControl w:val="0"/>
            <w:kinsoku/>
            <w:wordWrap/>
            <w:overflowPunct/>
            <w:topLinePunct w:val="0"/>
            <w:autoSpaceDE/>
            <w:autoSpaceDN/>
            <w:bidi w:val="0"/>
            <w:spacing w:line="440" w:lineRule="exact"/>
            <w:textAlignment w:val="auto"/>
            <w:rPr>
              <w:rFonts w:hint="eastAsia" w:ascii="楷体_GB2312" w:hAnsi="楷体_GB2312" w:eastAsia="楷体_GB2312" w:cs="楷体_GB2312"/>
              <w:sz w:val="28"/>
              <w:szCs w:val="28"/>
            </w:rPr>
          </w:pPr>
          <w:r>
            <w:rPr>
              <w:rFonts w:hint="eastAsia" w:ascii="楷体_GB2312" w:hAnsi="楷体_GB2312" w:eastAsia="楷体_GB2312" w:cs="楷体_GB2312"/>
              <w:w w:val="85"/>
              <w:kern w:val="0"/>
              <w:sz w:val="28"/>
              <w:szCs w:val="28"/>
            </w:rPr>
            <w:fldChar w:fldCharType="begin"/>
          </w:r>
          <w:r>
            <w:rPr>
              <w:rFonts w:hint="eastAsia" w:ascii="楷体_GB2312" w:hAnsi="楷体_GB2312" w:eastAsia="楷体_GB2312" w:cs="楷体_GB2312"/>
              <w:w w:val="85"/>
              <w:kern w:val="0"/>
              <w:sz w:val="28"/>
              <w:szCs w:val="28"/>
            </w:rPr>
            <w:instrText xml:space="preserve"> HYPERLINK \l _Toc23260 </w:instrText>
          </w:r>
          <w:r>
            <w:rPr>
              <w:rFonts w:hint="eastAsia" w:ascii="楷体_GB2312" w:hAnsi="楷体_GB2312" w:eastAsia="楷体_GB2312" w:cs="楷体_GB2312"/>
              <w:w w:val="85"/>
              <w:kern w:val="0"/>
              <w:sz w:val="28"/>
              <w:szCs w:val="28"/>
            </w:rPr>
            <w:fldChar w:fldCharType="separate"/>
          </w:r>
          <w:r>
            <w:rPr>
              <w:rFonts w:hint="eastAsia" w:ascii="楷体_GB2312" w:hAnsi="楷体_GB2312" w:eastAsia="楷体_GB2312" w:cs="楷体_GB2312"/>
              <w:sz w:val="28"/>
              <w:szCs w:val="28"/>
              <w:lang w:val="en-US" w:eastAsia="zh-CN"/>
            </w:rPr>
            <w:t>九、成绩排名</w:t>
          </w:r>
          <w:r>
            <w:rPr>
              <w:rFonts w:hint="eastAsia" w:ascii="楷体_GB2312" w:hAnsi="楷体_GB2312" w:eastAsia="楷体_GB2312" w:cs="楷体_GB2312"/>
              <w:sz w:val="28"/>
              <w:szCs w:val="28"/>
            </w:rPr>
            <w:t>计算</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_Toc23260 \h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8</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w w:val="85"/>
              <w:kern w:val="0"/>
              <w:sz w:val="28"/>
              <w:szCs w:val="28"/>
            </w:rPr>
            <w:fldChar w:fldCharType="end"/>
          </w:r>
        </w:p>
        <w:p w14:paraId="3E17CDAE">
          <w:pPr>
            <w:pStyle w:val="12"/>
            <w:keepNext w:val="0"/>
            <w:keepLines w:val="0"/>
            <w:pageBreakBefore w:val="0"/>
            <w:widowControl w:val="0"/>
            <w:kinsoku/>
            <w:wordWrap/>
            <w:overflowPunct/>
            <w:topLinePunct w:val="0"/>
            <w:autoSpaceDE/>
            <w:autoSpaceDN/>
            <w:bidi w:val="0"/>
            <w:spacing w:line="440" w:lineRule="exact"/>
            <w:textAlignment w:val="auto"/>
            <w:rPr>
              <w:rFonts w:hint="eastAsia" w:ascii="楷体_GB2312" w:hAnsi="楷体_GB2312" w:eastAsia="楷体_GB2312" w:cs="楷体_GB2312"/>
              <w:sz w:val="28"/>
              <w:szCs w:val="28"/>
            </w:rPr>
          </w:pPr>
          <w:r>
            <w:rPr>
              <w:rFonts w:hint="eastAsia" w:ascii="楷体_GB2312" w:hAnsi="楷体_GB2312" w:eastAsia="楷体_GB2312" w:cs="楷体_GB2312"/>
              <w:w w:val="85"/>
              <w:kern w:val="0"/>
              <w:sz w:val="28"/>
              <w:szCs w:val="28"/>
            </w:rPr>
            <w:fldChar w:fldCharType="begin"/>
          </w:r>
          <w:r>
            <w:rPr>
              <w:rFonts w:hint="eastAsia" w:ascii="楷体_GB2312" w:hAnsi="楷体_GB2312" w:eastAsia="楷体_GB2312" w:cs="楷体_GB2312"/>
              <w:w w:val="85"/>
              <w:kern w:val="0"/>
              <w:sz w:val="28"/>
              <w:szCs w:val="28"/>
            </w:rPr>
            <w:instrText xml:space="preserve"> HYPERLINK \l _Toc12976 </w:instrText>
          </w:r>
          <w:r>
            <w:rPr>
              <w:rFonts w:hint="eastAsia" w:ascii="楷体_GB2312" w:hAnsi="楷体_GB2312" w:eastAsia="楷体_GB2312" w:cs="楷体_GB2312"/>
              <w:w w:val="85"/>
              <w:kern w:val="0"/>
              <w:sz w:val="28"/>
              <w:szCs w:val="28"/>
            </w:rPr>
            <w:fldChar w:fldCharType="separate"/>
          </w:r>
          <w:r>
            <w:rPr>
              <w:rFonts w:hint="eastAsia" w:ascii="楷体_GB2312" w:hAnsi="楷体_GB2312" w:eastAsia="楷体_GB2312" w:cs="楷体_GB2312"/>
              <w:sz w:val="28"/>
              <w:szCs w:val="28"/>
              <w:lang w:val="en-US" w:eastAsia="zh-CN"/>
            </w:rPr>
            <w:t>十、</w:t>
          </w:r>
          <w:r>
            <w:rPr>
              <w:rFonts w:hint="eastAsia" w:ascii="楷体_GB2312" w:hAnsi="楷体_GB2312" w:eastAsia="楷体_GB2312" w:cs="楷体_GB2312"/>
              <w:sz w:val="28"/>
              <w:szCs w:val="28"/>
            </w:rPr>
            <w:t>体检和考察</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_Toc12976 \h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9</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w w:val="85"/>
              <w:kern w:val="0"/>
              <w:sz w:val="28"/>
              <w:szCs w:val="28"/>
            </w:rPr>
            <w:fldChar w:fldCharType="end"/>
          </w:r>
        </w:p>
        <w:p w14:paraId="77FF4B2D">
          <w:pPr>
            <w:pStyle w:val="15"/>
            <w:keepNext w:val="0"/>
            <w:keepLines w:val="0"/>
            <w:pageBreakBefore w:val="0"/>
            <w:widowControl w:val="0"/>
            <w:tabs>
              <w:tab w:val="right" w:leader="dot" w:pos="8528"/>
            </w:tabs>
            <w:kinsoku/>
            <w:wordWrap/>
            <w:overflowPunct/>
            <w:topLinePunct w:val="0"/>
            <w:autoSpaceDE/>
            <w:autoSpaceDN/>
            <w:bidi w:val="0"/>
            <w:spacing w:line="440" w:lineRule="exact"/>
            <w:textAlignment w:val="auto"/>
            <w:rPr>
              <w:rFonts w:hint="eastAsia" w:ascii="楷体_GB2312" w:hAnsi="楷体_GB2312" w:eastAsia="楷体_GB2312" w:cs="楷体_GB2312"/>
              <w:sz w:val="28"/>
              <w:szCs w:val="28"/>
            </w:rPr>
          </w:pPr>
          <w:r>
            <w:rPr>
              <w:rFonts w:hint="eastAsia" w:ascii="楷体_GB2312" w:hAnsi="楷体_GB2312" w:eastAsia="楷体_GB2312" w:cs="楷体_GB2312"/>
              <w:w w:val="85"/>
              <w:kern w:val="0"/>
              <w:sz w:val="28"/>
              <w:szCs w:val="28"/>
            </w:rPr>
            <w:fldChar w:fldCharType="begin"/>
          </w:r>
          <w:r>
            <w:rPr>
              <w:rFonts w:hint="eastAsia" w:ascii="楷体_GB2312" w:hAnsi="楷体_GB2312" w:eastAsia="楷体_GB2312" w:cs="楷体_GB2312"/>
              <w:w w:val="85"/>
              <w:kern w:val="0"/>
              <w:sz w:val="28"/>
              <w:szCs w:val="28"/>
            </w:rPr>
            <w:instrText xml:space="preserve"> HYPERLINK \l _Toc31705 </w:instrText>
          </w:r>
          <w:r>
            <w:rPr>
              <w:rFonts w:hint="eastAsia" w:ascii="楷体_GB2312" w:hAnsi="楷体_GB2312" w:eastAsia="楷体_GB2312" w:cs="楷体_GB2312"/>
              <w:w w:val="85"/>
              <w:kern w:val="0"/>
              <w:sz w:val="28"/>
              <w:szCs w:val="28"/>
            </w:rPr>
            <w:fldChar w:fldCharType="separate"/>
          </w:r>
          <w:r>
            <w:rPr>
              <w:rFonts w:hint="eastAsia" w:ascii="楷体_GB2312" w:hAnsi="楷体_GB2312" w:eastAsia="楷体_GB2312" w:cs="楷体_GB2312"/>
              <w:sz w:val="28"/>
              <w:szCs w:val="28"/>
            </w:rPr>
            <w:t>（一）确定体检和考察人选</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_Toc31705 \h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9</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w w:val="85"/>
              <w:kern w:val="0"/>
              <w:sz w:val="28"/>
              <w:szCs w:val="28"/>
            </w:rPr>
            <w:fldChar w:fldCharType="end"/>
          </w:r>
        </w:p>
        <w:p w14:paraId="5C9E4B3F">
          <w:pPr>
            <w:pStyle w:val="15"/>
            <w:keepNext w:val="0"/>
            <w:keepLines w:val="0"/>
            <w:pageBreakBefore w:val="0"/>
            <w:widowControl w:val="0"/>
            <w:tabs>
              <w:tab w:val="right" w:leader="dot" w:pos="8528"/>
            </w:tabs>
            <w:kinsoku/>
            <w:wordWrap/>
            <w:overflowPunct/>
            <w:topLinePunct w:val="0"/>
            <w:autoSpaceDE/>
            <w:autoSpaceDN/>
            <w:bidi w:val="0"/>
            <w:spacing w:line="440" w:lineRule="exact"/>
            <w:textAlignment w:val="auto"/>
            <w:rPr>
              <w:rFonts w:hint="eastAsia" w:ascii="楷体_GB2312" w:hAnsi="楷体_GB2312" w:eastAsia="楷体_GB2312" w:cs="楷体_GB2312"/>
              <w:sz w:val="28"/>
              <w:szCs w:val="28"/>
            </w:rPr>
          </w:pPr>
          <w:r>
            <w:rPr>
              <w:rFonts w:hint="eastAsia" w:ascii="楷体_GB2312" w:hAnsi="楷体_GB2312" w:eastAsia="楷体_GB2312" w:cs="楷体_GB2312"/>
              <w:w w:val="85"/>
              <w:kern w:val="0"/>
              <w:sz w:val="28"/>
              <w:szCs w:val="28"/>
            </w:rPr>
            <w:fldChar w:fldCharType="begin"/>
          </w:r>
          <w:r>
            <w:rPr>
              <w:rFonts w:hint="eastAsia" w:ascii="楷体_GB2312" w:hAnsi="楷体_GB2312" w:eastAsia="楷体_GB2312" w:cs="楷体_GB2312"/>
              <w:w w:val="85"/>
              <w:kern w:val="0"/>
              <w:sz w:val="28"/>
              <w:szCs w:val="28"/>
            </w:rPr>
            <w:instrText xml:space="preserve"> HYPERLINK \l _Toc24033 </w:instrText>
          </w:r>
          <w:r>
            <w:rPr>
              <w:rFonts w:hint="eastAsia" w:ascii="楷体_GB2312" w:hAnsi="楷体_GB2312" w:eastAsia="楷体_GB2312" w:cs="楷体_GB2312"/>
              <w:w w:val="85"/>
              <w:kern w:val="0"/>
              <w:sz w:val="28"/>
              <w:szCs w:val="28"/>
            </w:rPr>
            <w:fldChar w:fldCharType="separate"/>
          </w:r>
          <w:r>
            <w:rPr>
              <w:rFonts w:hint="eastAsia" w:ascii="楷体_GB2312" w:hAnsi="楷体_GB2312" w:eastAsia="楷体_GB2312" w:cs="楷体_GB2312"/>
              <w:sz w:val="28"/>
              <w:szCs w:val="28"/>
            </w:rPr>
            <w:t>（二）组织体检和考察</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_Toc24033 \h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9</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w w:val="85"/>
              <w:kern w:val="0"/>
              <w:sz w:val="28"/>
              <w:szCs w:val="28"/>
            </w:rPr>
            <w:fldChar w:fldCharType="end"/>
          </w:r>
        </w:p>
        <w:p w14:paraId="1E7DE192">
          <w:pPr>
            <w:pStyle w:val="15"/>
            <w:keepNext w:val="0"/>
            <w:keepLines w:val="0"/>
            <w:pageBreakBefore w:val="0"/>
            <w:widowControl w:val="0"/>
            <w:tabs>
              <w:tab w:val="right" w:leader="dot" w:pos="8528"/>
            </w:tabs>
            <w:kinsoku/>
            <w:wordWrap/>
            <w:overflowPunct/>
            <w:topLinePunct w:val="0"/>
            <w:autoSpaceDE/>
            <w:autoSpaceDN/>
            <w:bidi w:val="0"/>
            <w:spacing w:line="440" w:lineRule="exact"/>
            <w:textAlignment w:val="auto"/>
            <w:rPr>
              <w:rFonts w:hint="eastAsia" w:ascii="楷体_GB2312" w:hAnsi="楷体_GB2312" w:eastAsia="楷体_GB2312" w:cs="楷体_GB2312"/>
              <w:sz w:val="28"/>
              <w:szCs w:val="28"/>
            </w:rPr>
          </w:pPr>
          <w:r>
            <w:rPr>
              <w:rFonts w:hint="eastAsia" w:ascii="楷体_GB2312" w:hAnsi="楷体_GB2312" w:eastAsia="楷体_GB2312" w:cs="楷体_GB2312"/>
              <w:w w:val="85"/>
              <w:kern w:val="0"/>
              <w:sz w:val="28"/>
              <w:szCs w:val="28"/>
            </w:rPr>
            <w:fldChar w:fldCharType="begin"/>
          </w:r>
          <w:r>
            <w:rPr>
              <w:rFonts w:hint="eastAsia" w:ascii="楷体_GB2312" w:hAnsi="楷体_GB2312" w:eastAsia="楷体_GB2312" w:cs="楷体_GB2312"/>
              <w:w w:val="85"/>
              <w:kern w:val="0"/>
              <w:sz w:val="28"/>
              <w:szCs w:val="28"/>
            </w:rPr>
            <w:instrText xml:space="preserve"> HYPERLINK \l _Toc12534 </w:instrText>
          </w:r>
          <w:r>
            <w:rPr>
              <w:rFonts w:hint="eastAsia" w:ascii="楷体_GB2312" w:hAnsi="楷体_GB2312" w:eastAsia="楷体_GB2312" w:cs="楷体_GB2312"/>
              <w:w w:val="85"/>
              <w:kern w:val="0"/>
              <w:sz w:val="28"/>
              <w:szCs w:val="28"/>
            </w:rPr>
            <w:fldChar w:fldCharType="separate"/>
          </w:r>
          <w:r>
            <w:rPr>
              <w:rFonts w:hint="eastAsia" w:ascii="楷体_GB2312" w:hAnsi="楷体_GB2312" w:eastAsia="楷体_GB2312" w:cs="楷体_GB2312"/>
              <w:sz w:val="28"/>
              <w:szCs w:val="28"/>
            </w:rPr>
            <w:t>（三）体检依据</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_Toc12534 \h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9</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w w:val="85"/>
              <w:kern w:val="0"/>
              <w:sz w:val="28"/>
              <w:szCs w:val="28"/>
            </w:rPr>
            <w:fldChar w:fldCharType="end"/>
          </w:r>
        </w:p>
        <w:p w14:paraId="09462612">
          <w:pPr>
            <w:pStyle w:val="15"/>
            <w:keepNext w:val="0"/>
            <w:keepLines w:val="0"/>
            <w:pageBreakBefore w:val="0"/>
            <w:widowControl w:val="0"/>
            <w:tabs>
              <w:tab w:val="right" w:leader="dot" w:pos="8528"/>
            </w:tabs>
            <w:kinsoku/>
            <w:wordWrap/>
            <w:overflowPunct/>
            <w:topLinePunct w:val="0"/>
            <w:autoSpaceDE/>
            <w:autoSpaceDN/>
            <w:bidi w:val="0"/>
            <w:spacing w:line="440" w:lineRule="exact"/>
            <w:textAlignment w:val="auto"/>
            <w:rPr>
              <w:rFonts w:hint="eastAsia" w:ascii="楷体_GB2312" w:hAnsi="楷体_GB2312" w:eastAsia="楷体_GB2312" w:cs="楷体_GB2312"/>
              <w:sz w:val="28"/>
              <w:szCs w:val="28"/>
            </w:rPr>
          </w:pPr>
          <w:r>
            <w:rPr>
              <w:rFonts w:hint="eastAsia" w:ascii="楷体_GB2312" w:hAnsi="楷体_GB2312" w:eastAsia="楷体_GB2312" w:cs="楷体_GB2312"/>
              <w:w w:val="85"/>
              <w:kern w:val="0"/>
              <w:sz w:val="28"/>
              <w:szCs w:val="28"/>
            </w:rPr>
            <w:fldChar w:fldCharType="begin"/>
          </w:r>
          <w:r>
            <w:rPr>
              <w:rFonts w:hint="eastAsia" w:ascii="楷体_GB2312" w:hAnsi="楷体_GB2312" w:eastAsia="楷体_GB2312" w:cs="楷体_GB2312"/>
              <w:w w:val="85"/>
              <w:kern w:val="0"/>
              <w:sz w:val="28"/>
              <w:szCs w:val="28"/>
            </w:rPr>
            <w:instrText xml:space="preserve"> HYPERLINK \l _Toc30491 </w:instrText>
          </w:r>
          <w:r>
            <w:rPr>
              <w:rFonts w:hint="eastAsia" w:ascii="楷体_GB2312" w:hAnsi="楷体_GB2312" w:eastAsia="楷体_GB2312" w:cs="楷体_GB2312"/>
              <w:w w:val="85"/>
              <w:kern w:val="0"/>
              <w:sz w:val="28"/>
              <w:szCs w:val="28"/>
            </w:rPr>
            <w:fldChar w:fldCharType="separate"/>
          </w:r>
          <w:r>
            <w:rPr>
              <w:rFonts w:hint="eastAsia" w:ascii="楷体_GB2312" w:hAnsi="楷体_GB2312" w:eastAsia="楷体_GB2312" w:cs="楷体_GB2312"/>
              <w:sz w:val="28"/>
              <w:szCs w:val="28"/>
            </w:rPr>
            <w:t>（四）体检复检</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_Toc30491 \h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9</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w w:val="85"/>
              <w:kern w:val="0"/>
              <w:sz w:val="28"/>
              <w:szCs w:val="28"/>
            </w:rPr>
            <w:fldChar w:fldCharType="end"/>
          </w:r>
        </w:p>
        <w:p w14:paraId="07D11A24">
          <w:pPr>
            <w:pStyle w:val="15"/>
            <w:keepNext w:val="0"/>
            <w:keepLines w:val="0"/>
            <w:pageBreakBefore w:val="0"/>
            <w:widowControl w:val="0"/>
            <w:tabs>
              <w:tab w:val="right" w:leader="dot" w:pos="8528"/>
            </w:tabs>
            <w:kinsoku/>
            <w:wordWrap/>
            <w:overflowPunct/>
            <w:topLinePunct w:val="0"/>
            <w:autoSpaceDE/>
            <w:autoSpaceDN/>
            <w:bidi w:val="0"/>
            <w:spacing w:line="440" w:lineRule="exact"/>
            <w:textAlignment w:val="auto"/>
            <w:rPr>
              <w:rFonts w:hint="eastAsia" w:ascii="楷体_GB2312" w:hAnsi="楷体_GB2312" w:eastAsia="楷体_GB2312" w:cs="楷体_GB2312"/>
              <w:sz w:val="28"/>
              <w:szCs w:val="28"/>
            </w:rPr>
          </w:pPr>
          <w:r>
            <w:rPr>
              <w:rFonts w:hint="eastAsia" w:ascii="楷体_GB2312" w:hAnsi="楷体_GB2312" w:eastAsia="楷体_GB2312" w:cs="楷体_GB2312"/>
              <w:w w:val="85"/>
              <w:kern w:val="0"/>
              <w:sz w:val="28"/>
              <w:szCs w:val="28"/>
            </w:rPr>
            <w:fldChar w:fldCharType="begin"/>
          </w:r>
          <w:r>
            <w:rPr>
              <w:rFonts w:hint="eastAsia" w:ascii="楷体_GB2312" w:hAnsi="楷体_GB2312" w:eastAsia="楷体_GB2312" w:cs="楷体_GB2312"/>
              <w:w w:val="85"/>
              <w:kern w:val="0"/>
              <w:sz w:val="28"/>
              <w:szCs w:val="28"/>
            </w:rPr>
            <w:instrText xml:space="preserve"> HYPERLINK \l _Toc9642 </w:instrText>
          </w:r>
          <w:r>
            <w:rPr>
              <w:rFonts w:hint="eastAsia" w:ascii="楷体_GB2312" w:hAnsi="楷体_GB2312" w:eastAsia="楷体_GB2312" w:cs="楷体_GB2312"/>
              <w:w w:val="85"/>
              <w:kern w:val="0"/>
              <w:sz w:val="28"/>
              <w:szCs w:val="28"/>
            </w:rPr>
            <w:fldChar w:fldCharType="separate"/>
          </w:r>
          <w:r>
            <w:rPr>
              <w:rFonts w:hint="eastAsia" w:ascii="楷体_GB2312" w:hAnsi="楷体_GB2312" w:eastAsia="楷体_GB2312" w:cs="楷体_GB2312"/>
              <w:sz w:val="28"/>
              <w:szCs w:val="28"/>
            </w:rPr>
            <w:t>（五）可延迟体检的情形</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_Toc9642 \h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10</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w w:val="85"/>
              <w:kern w:val="0"/>
              <w:sz w:val="28"/>
              <w:szCs w:val="28"/>
            </w:rPr>
            <w:fldChar w:fldCharType="end"/>
          </w:r>
        </w:p>
        <w:p w14:paraId="3F7B8C77">
          <w:pPr>
            <w:pStyle w:val="15"/>
            <w:keepNext w:val="0"/>
            <w:keepLines w:val="0"/>
            <w:pageBreakBefore w:val="0"/>
            <w:widowControl w:val="0"/>
            <w:tabs>
              <w:tab w:val="right" w:leader="dot" w:pos="8528"/>
            </w:tabs>
            <w:kinsoku/>
            <w:wordWrap/>
            <w:overflowPunct/>
            <w:topLinePunct w:val="0"/>
            <w:autoSpaceDE/>
            <w:autoSpaceDN/>
            <w:bidi w:val="0"/>
            <w:spacing w:line="440" w:lineRule="exact"/>
            <w:textAlignment w:val="auto"/>
            <w:rPr>
              <w:rFonts w:hint="eastAsia" w:ascii="楷体_GB2312" w:hAnsi="楷体_GB2312" w:eastAsia="楷体_GB2312" w:cs="楷体_GB2312"/>
              <w:sz w:val="28"/>
              <w:szCs w:val="28"/>
            </w:rPr>
          </w:pPr>
          <w:r>
            <w:rPr>
              <w:rFonts w:hint="eastAsia" w:ascii="楷体_GB2312" w:hAnsi="楷体_GB2312" w:eastAsia="楷体_GB2312" w:cs="楷体_GB2312"/>
              <w:w w:val="85"/>
              <w:kern w:val="0"/>
              <w:sz w:val="28"/>
              <w:szCs w:val="28"/>
            </w:rPr>
            <w:fldChar w:fldCharType="begin"/>
          </w:r>
          <w:r>
            <w:rPr>
              <w:rFonts w:hint="eastAsia" w:ascii="楷体_GB2312" w:hAnsi="楷体_GB2312" w:eastAsia="楷体_GB2312" w:cs="楷体_GB2312"/>
              <w:w w:val="85"/>
              <w:kern w:val="0"/>
              <w:sz w:val="28"/>
              <w:szCs w:val="28"/>
            </w:rPr>
            <w:instrText xml:space="preserve"> HYPERLINK \l _Toc6516 </w:instrText>
          </w:r>
          <w:r>
            <w:rPr>
              <w:rFonts w:hint="eastAsia" w:ascii="楷体_GB2312" w:hAnsi="楷体_GB2312" w:eastAsia="楷体_GB2312" w:cs="楷体_GB2312"/>
              <w:w w:val="85"/>
              <w:kern w:val="0"/>
              <w:sz w:val="28"/>
              <w:szCs w:val="28"/>
            </w:rPr>
            <w:fldChar w:fldCharType="separate"/>
          </w:r>
          <w:r>
            <w:rPr>
              <w:rFonts w:hint="eastAsia" w:ascii="楷体_GB2312" w:hAnsi="楷体_GB2312" w:eastAsia="楷体_GB2312" w:cs="楷体_GB2312"/>
              <w:sz w:val="28"/>
              <w:szCs w:val="28"/>
            </w:rPr>
            <w:t>（六）考察</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_Toc6516 \h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10</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w w:val="85"/>
              <w:kern w:val="0"/>
              <w:sz w:val="28"/>
              <w:szCs w:val="28"/>
            </w:rPr>
            <w:fldChar w:fldCharType="end"/>
          </w:r>
        </w:p>
        <w:p w14:paraId="34425AC1">
          <w:pPr>
            <w:pStyle w:val="12"/>
            <w:keepNext w:val="0"/>
            <w:keepLines w:val="0"/>
            <w:pageBreakBefore w:val="0"/>
            <w:widowControl w:val="0"/>
            <w:kinsoku/>
            <w:wordWrap/>
            <w:overflowPunct/>
            <w:topLinePunct w:val="0"/>
            <w:autoSpaceDE/>
            <w:autoSpaceDN/>
            <w:bidi w:val="0"/>
            <w:spacing w:line="440" w:lineRule="exact"/>
            <w:textAlignment w:val="auto"/>
            <w:rPr>
              <w:rFonts w:hint="eastAsia" w:ascii="楷体_GB2312" w:hAnsi="楷体_GB2312" w:eastAsia="楷体_GB2312" w:cs="楷体_GB2312"/>
              <w:sz w:val="28"/>
              <w:szCs w:val="28"/>
            </w:rPr>
          </w:pPr>
          <w:r>
            <w:rPr>
              <w:rFonts w:hint="eastAsia" w:ascii="楷体_GB2312" w:hAnsi="楷体_GB2312" w:eastAsia="楷体_GB2312" w:cs="楷体_GB2312"/>
              <w:w w:val="85"/>
              <w:kern w:val="0"/>
              <w:sz w:val="28"/>
              <w:szCs w:val="28"/>
            </w:rPr>
            <w:fldChar w:fldCharType="begin"/>
          </w:r>
          <w:r>
            <w:rPr>
              <w:rFonts w:hint="eastAsia" w:ascii="楷体_GB2312" w:hAnsi="楷体_GB2312" w:eastAsia="楷体_GB2312" w:cs="楷体_GB2312"/>
              <w:w w:val="85"/>
              <w:kern w:val="0"/>
              <w:sz w:val="28"/>
              <w:szCs w:val="28"/>
            </w:rPr>
            <w:instrText xml:space="preserve"> HYPERLINK \l _Toc30818 </w:instrText>
          </w:r>
          <w:r>
            <w:rPr>
              <w:rFonts w:hint="eastAsia" w:ascii="楷体_GB2312" w:hAnsi="楷体_GB2312" w:eastAsia="楷体_GB2312" w:cs="楷体_GB2312"/>
              <w:w w:val="85"/>
              <w:kern w:val="0"/>
              <w:sz w:val="28"/>
              <w:szCs w:val="28"/>
            </w:rPr>
            <w:fldChar w:fldCharType="separate"/>
          </w:r>
          <w:r>
            <w:rPr>
              <w:rFonts w:hint="eastAsia" w:ascii="楷体_GB2312" w:hAnsi="楷体_GB2312" w:eastAsia="楷体_GB2312" w:cs="楷体_GB2312"/>
              <w:sz w:val="28"/>
              <w:szCs w:val="28"/>
              <w:lang w:val="en-US" w:eastAsia="zh-CN"/>
            </w:rPr>
            <w:t>十一、</w:t>
          </w:r>
          <w:r>
            <w:rPr>
              <w:rFonts w:hint="eastAsia" w:ascii="楷体_GB2312" w:hAnsi="楷体_GB2312" w:eastAsia="楷体_GB2312" w:cs="楷体_GB2312"/>
              <w:sz w:val="28"/>
              <w:szCs w:val="28"/>
            </w:rPr>
            <w:t>拟录用公示</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_Toc30818 \h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11</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w w:val="85"/>
              <w:kern w:val="0"/>
              <w:sz w:val="28"/>
              <w:szCs w:val="28"/>
            </w:rPr>
            <w:fldChar w:fldCharType="end"/>
          </w:r>
        </w:p>
        <w:p w14:paraId="569D0F40">
          <w:pPr>
            <w:pStyle w:val="12"/>
            <w:keepNext w:val="0"/>
            <w:keepLines w:val="0"/>
            <w:pageBreakBefore w:val="0"/>
            <w:widowControl w:val="0"/>
            <w:kinsoku/>
            <w:wordWrap/>
            <w:overflowPunct/>
            <w:topLinePunct w:val="0"/>
            <w:autoSpaceDE/>
            <w:autoSpaceDN/>
            <w:bidi w:val="0"/>
            <w:spacing w:line="440" w:lineRule="exact"/>
            <w:textAlignment w:val="auto"/>
            <w:rPr>
              <w:rFonts w:hint="eastAsia" w:ascii="楷体_GB2312" w:hAnsi="楷体_GB2312" w:eastAsia="楷体_GB2312" w:cs="楷体_GB2312"/>
              <w:sz w:val="28"/>
              <w:szCs w:val="28"/>
            </w:rPr>
          </w:pPr>
          <w:r>
            <w:rPr>
              <w:rFonts w:hint="eastAsia" w:ascii="楷体_GB2312" w:hAnsi="楷体_GB2312" w:eastAsia="楷体_GB2312" w:cs="楷体_GB2312"/>
              <w:w w:val="85"/>
              <w:kern w:val="0"/>
              <w:sz w:val="28"/>
              <w:szCs w:val="28"/>
            </w:rPr>
            <w:fldChar w:fldCharType="begin"/>
          </w:r>
          <w:r>
            <w:rPr>
              <w:rFonts w:hint="eastAsia" w:ascii="楷体_GB2312" w:hAnsi="楷体_GB2312" w:eastAsia="楷体_GB2312" w:cs="楷体_GB2312"/>
              <w:w w:val="85"/>
              <w:kern w:val="0"/>
              <w:sz w:val="28"/>
              <w:szCs w:val="28"/>
            </w:rPr>
            <w:instrText xml:space="preserve"> HYPERLINK \l _Toc17059 </w:instrText>
          </w:r>
          <w:r>
            <w:rPr>
              <w:rFonts w:hint="eastAsia" w:ascii="楷体_GB2312" w:hAnsi="楷体_GB2312" w:eastAsia="楷体_GB2312" w:cs="楷体_GB2312"/>
              <w:w w:val="85"/>
              <w:kern w:val="0"/>
              <w:sz w:val="28"/>
              <w:szCs w:val="28"/>
            </w:rPr>
            <w:fldChar w:fldCharType="separate"/>
          </w:r>
          <w:r>
            <w:rPr>
              <w:rFonts w:hint="eastAsia" w:ascii="楷体_GB2312" w:hAnsi="楷体_GB2312" w:eastAsia="楷体_GB2312" w:cs="楷体_GB2312"/>
              <w:sz w:val="28"/>
              <w:szCs w:val="28"/>
              <w:lang w:val="en-US" w:eastAsia="zh-CN"/>
            </w:rPr>
            <w:t>十二、</w:t>
          </w:r>
          <w:r>
            <w:rPr>
              <w:rFonts w:hint="eastAsia" w:ascii="楷体_GB2312" w:hAnsi="楷体_GB2312" w:eastAsia="楷体_GB2312" w:cs="楷体_GB2312"/>
              <w:sz w:val="28"/>
              <w:szCs w:val="28"/>
            </w:rPr>
            <w:t>录用</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_Toc17059 \h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11</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w w:val="85"/>
              <w:kern w:val="0"/>
              <w:sz w:val="28"/>
              <w:szCs w:val="28"/>
            </w:rPr>
            <w:fldChar w:fldCharType="end"/>
          </w:r>
        </w:p>
        <w:p w14:paraId="2D1FFDFF">
          <w:pPr>
            <w:keepNext w:val="0"/>
            <w:keepLines w:val="0"/>
            <w:pageBreakBefore w:val="0"/>
            <w:widowControl w:val="0"/>
            <w:kinsoku/>
            <w:wordWrap/>
            <w:overflowPunct/>
            <w:topLinePunct w:val="0"/>
            <w:autoSpaceDE/>
            <w:autoSpaceDN/>
            <w:bidi w:val="0"/>
            <w:adjustRightInd w:val="0"/>
            <w:snapToGrid w:val="0"/>
            <w:spacing w:line="440" w:lineRule="exact"/>
            <w:jc w:val="center"/>
            <w:textAlignment w:val="auto"/>
            <w:rPr>
              <w:rFonts w:hint="eastAsia" w:ascii="方正小标宋简体" w:hAnsi="方正小标宋简体" w:eastAsia="方正小标宋简体" w:cs="方正小标宋简体"/>
              <w:w w:val="85"/>
              <w:kern w:val="0"/>
              <w:sz w:val="28"/>
              <w:szCs w:val="44"/>
              <w:lang w:val="en-US" w:eastAsia="zh-CN" w:bidi="ar-SA"/>
            </w:rPr>
          </w:pPr>
          <w:r>
            <w:rPr>
              <w:rFonts w:hint="eastAsia" w:ascii="楷体_GB2312" w:hAnsi="楷体_GB2312" w:eastAsia="楷体_GB2312" w:cs="楷体_GB2312"/>
              <w:w w:val="85"/>
              <w:kern w:val="0"/>
              <w:sz w:val="28"/>
              <w:szCs w:val="28"/>
            </w:rPr>
            <w:fldChar w:fldCharType="end"/>
          </w:r>
        </w:p>
      </w:sdtContent>
    </w:sdt>
    <w:p w14:paraId="264DDFC9">
      <w:pPr>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方正小标宋简体" w:hAnsi="方正小标宋简体" w:eastAsia="方正小标宋简体" w:cs="方正小标宋简体"/>
          <w:b/>
          <w:w w:val="85"/>
          <w:kern w:val="0"/>
          <w:sz w:val="44"/>
          <w:szCs w:val="44"/>
        </w:rPr>
        <w:sectPr>
          <w:pgSz w:w="11906" w:h="16838"/>
          <w:pgMar w:top="1270" w:right="1689" w:bottom="1383" w:left="1689" w:header="851" w:footer="992" w:gutter="0"/>
          <w:pgNumType w:start="1"/>
          <w:cols w:space="0" w:num="1"/>
          <w:docGrid w:linePitch="312" w:charSpace="0"/>
        </w:sectPr>
      </w:pPr>
    </w:p>
    <w:p w14:paraId="2BF4465B">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pPr>
      <w:r>
        <w:rPr>
          <w:rFonts w:hint="eastAsia"/>
        </w:rPr>
        <w:t>为帮助报考者详细了解报考政策、相关事项</w:t>
      </w:r>
      <w:r>
        <w:rPr>
          <w:rFonts w:hint="eastAsia"/>
          <w:lang w:eastAsia="zh-CN"/>
        </w:rPr>
        <w:t>及</w:t>
      </w:r>
      <w:r>
        <w:rPr>
          <w:rFonts w:hint="eastAsia"/>
        </w:rPr>
        <w:t>需要注意的有关事项，根据</w:t>
      </w:r>
      <w:r>
        <w:rPr>
          <w:rFonts w:hint="eastAsia"/>
          <w:lang w:val="en-US" w:eastAsia="zh-CN"/>
        </w:rPr>
        <w:t>事业单位</w:t>
      </w:r>
      <w:r>
        <w:rPr>
          <w:rFonts w:hint="eastAsia"/>
        </w:rPr>
        <w:t>招聘有关规定，编写了《202</w:t>
      </w:r>
      <w:r>
        <w:rPr>
          <w:rFonts w:hint="eastAsia"/>
          <w:lang w:val="en-US" w:eastAsia="zh-CN"/>
        </w:rPr>
        <w:t>6</w:t>
      </w:r>
      <w:r>
        <w:rPr>
          <w:rFonts w:hint="eastAsia"/>
        </w:rPr>
        <w:t>年</w:t>
      </w:r>
      <w:r>
        <w:rPr>
          <w:rFonts w:hint="eastAsia"/>
          <w:lang w:val="en-US" w:eastAsia="zh-CN"/>
        </w:rPr>
        <w:t>8</w:t>
      </w:r>
      <w:r>
        <w:rPr>
          <w:rFonts w:hint="eastAsia"/>
        </w:rPr>
        <w:t>月</w:t>
      </w:r>
      <w:r>
        <w:rPr>
          <w:rFonts w:hint="eastAsia"/>
          <w:lang w:val="en-US" w:eastAsia="zh-CN"/>
        </w:rPr>
        <w:t>集美区辖区</w:t>
      </w:r>
      <w:r>
        <w:rPr>
          <w:rFonts w:hint="eastAsia"/>
        </w:rPr>
        <w:t>街道社区卫生服务中心补充编外人员招聘报考须知》。本须知仅适用于202</w:t>
      </w:r>
      <w:r>
        <w:rPr>
          <w:rFonts w:hint="eastAsia"/>
          <w:lang w:val="en-US" w:eastAsia="zh-CN"/>
        </w:rPr>
        <w:t>6</w:t>
      </w:r>
      <w:r>
        <w:rPr>
          <w:rFonts w:hint="eastAsia"/>
        </w:rPr>
        <w:t>年</w:t>
      </w:r>
      <w:r>
        <w:rPr>
          <w:rFonts w:hint="eastAsia"/>
          <w:lang w:val="en-US" w:eastAsia="zh-CN"/>
        </w:rPr>
        <w:t>8</w:t>
      </w:r>
      <w:r>
        <w:rPr>
          <w:rFonts w:hint="eastAsia"/>
        </w:rPr>
        <w:t>月</w:t>
      </w:r>
      <w:r>
        <w:rPr>
          <w:rFonts w:hint="eastAsia"/>
          <w:lang w:val="en-US" w:eastAsia="zh-CN"/>
        </w:rPr>
        <w:t>集美区辖区</w:t>
      </w:r>
      <w:r>
        <w:rPr>
          <w:rFonts w:hint="eastAsia"/>
        </w:rPr>
        <w:t>街道社区卫生服务中心补充编外人员</w:t>
      </w:r>
      <w:r>
        <w:rPr>
          <w:rFonts w:hint="eastAsia"/>
          <w:lang w:val="en-US" w:eastAsia="zh-CN"/>
        </w:rPr>
        <w:t>招聘</w:t>
      </w:r>
      <w:r>
        <w:rPr>
          <w:rFonts w:hint="eastAsia"/>
        </w:rPr>
        <w:t>考试，由招聘单位解释。</w:t>
      </w:r>
    </w:p>
    <w:p w14:paraId="5EBD716A">
      <w:pPr>
        <w:pStyle w:val="2"/>
        <w:pageBreakBefore w:val="0"/>
        <w:widowControl w:val="0"/>
        <w:numPr>
          <w:ilvl w:val="0"/>
          <w:numId w:val="1"/>
        </w:numPr>
        <w:kinsoku/>
        <w:wordWrap/>
        <w:overflowPunct/>
        <w:topLinePunct w:val="0"/>
        <w:autoSpaceDE/>
        <w:autoSpaceDN/>
        <w:bidi w:val="0"/>
        <w:adjustRightInd/>
        <w:snapToGrid/>
        <w:spacing w:line="440" w:lineRule="exact"/>
        <w:textAlignment w:val="auto"/>
        <w:rPr>
          <w:rFonts w:hint="eastAsia"/>
        </w:rPr>
      </w:pPr>
      <w:bookmarkStart w:id="1" w:name="_Toc20565"/>
      <w:bookmarkStart w:id="2" w:name="_Toc12780"/>
      <w:bookmarkStart w:id="3" w:name="_Toc7696"/>
      <w:bookmarkStart w:id="4" w:name="_Toc4087"/>
      <w:r>
        <w:rPr>
          <w:rFonts w:hint="eastAsia"/>
        </w:rPr>
        <w:t>基本条件</w:t>
      </w:r>
      <w:bookmarkEnd w:id="1"/>
      <w:bookmarkEnd w:id="2"/>
      <w:bookmarkEnd w:id="3"/>
      <w:bookmarkEnd w:id="4"/>
    </w:p>
    <w:p w14:paraId="46A01468">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_GB2312" w:hAnsi="仿宋_GB2312" w:eastAsia="仿宋_GB2312" w:cs="仿宋_GB2312"/>
          <w:sz w:val="28"/>
          <w:szCs w:val="28"/>
        </w:rPr>
      </w:pPr>
      <w:bookmarkStart w:id="5" w:name="_Toc19262_WPSOffice_Level2"/>
      <w:bookmarkStart w:id="6" w:name="_Toc17638_WPSOffice_Level2"/>
      <w:bookmarkStart w:id="7" w:name="_Toc9119_WPSOffice_Level2"/>
      <w:bookmarkStart w:id="8" w:name="_Toc29243_WPSOffice_Level2"/>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具有中华人民共和国国籍；</w:t>
      </w:r>
      <w:bookmarkEnd w:id="5"/>
      <w:bookmarkEnd w:id="6"/>
      <w:bookmarkEnd w:id="7"/>
      <w:bookmarkEnd w:id="8"/>
      <w:bookmarkStart w:id="9" w:name="_Toc4207_WPSOffice_Level2"/>
      <w:bookmarkStart w:id="10" w:name="_Toc12392_WPSOffice_Level2"/>
      <w:bookmarkStart w:id="11" w:name="_Toc17350_WPSOffice_Level2"/>
      <w:bookmarkStart w:id="12" w:name="_Toc11941_WPSOffice_Level2"/>
    </w:p>
    <w:p w14:paraId="00244864">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拥护中华人民共和国宪法</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拥护中国共产党领导和社会主义制度；</w:t>
      </w:r>
      <w:bookmarkEnd w:id="9"/>
      <w:bookmarkEnd w:id="10"/>
      <w:bookmarkEnd w:id="11"/>
      <w:bookmarkEnd w:id="12"/>
      <w:bookmarkStart w:id="13" w:name="_Toc7847_WPSOffice_Level2"/>
      <w:bookmarkStart w:id="14" w:name="_Toc20094_WPSOffice_Level2"/>
      <w:bookmarkStart w:id="15" w:name="_Toc6014_WPSOffice_Level2"/>
      <w:bookmarkStart w:id="16" w:name="_Toc9634_WPSOffice_Level2"/>
    </w:p>
    <w:p w14:paraId="6F1F04F8">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热爱卫生健康事业，具有良好的政治素质和职业道德，具有正常履行职责的身体条件和心理素质；</w:t>
      </w:r>
      <w:bookmarkEnd w:id="13"/>
      <w:bookmarkEnd w:id="14"/>
      <w:bookmarkEnd w:id="15"/>
      <w:bookmarkEnd w:id="16"/>
      <w:bookmarkStart w:id="17" w:name="_Toc30877_WPSOffice_Level2"/>
      <w:bookmarkStart w:id="18" w:name="_Toc6870_WPSOffice_Level2"/>
      <w:bookmarkStart w:id="19" w:name="_Toc13849_WPSOffice_Level2"/>
      <w:bookmarkStart w:id="20" w:name="_Toc27016_WPSOffice_Level2"/>
    </w:p>
    <w:p w14:paraId="19660696">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18周岁以上、</w:t>
      </w:r>
      <w:r>
        <w:rPr>
          <w:rFonts w:hint="eastAsia" w:ascii="仿宋_GB2312" w:hAnsi="仿宋_GB2312" w:eastAsia="仿宋_GB2312" w:cs="仿宋_GB2312"/>
          <w:sz w:val="28"/>
          <w:szCs w:val="28"/>
          <w:lang w:val="en-US" w:eastAsia="zh-CN"/>
        </w:rPr>
        <w:t>38</w:t>
      </w:r>
      <w:r>
        <w:rPr>
          <w:rFonts w:hint="eastAsia" w:ascii="仿宋_GB2312" w:hAnsi="仿宋_GB2312" w:eastAsia="仿宋_GB2312" w:cs="仿宋_GB2312"/>
          <w:sz w:val="28"/>
          <w:szCs w:val="28"/>
        </w:rPr>
        <w:t>周岁以下（在198</w:t>
      </w:r>
      <w:r>
        <w:rPr>
          <w:rFonts w:hint="eastAsia" w:ascii="仿宋_GB2312" w:hAnsi="仿宋_GB2312" w:cs="仿宋_GB2312"/>
          <w:sz w:val="28"/>
          <w:szCs w:val="28"/>
          <w:lang w:val="en-US" w:eastAsia="zh-CN"/>
        </w:rPr>
        <w:t>8</w:t>
      </w:r>
      <w:r>
        <w:rPr>
          <w:rFonts w:hint="eastAsia" w:ascii="仿宋_GB2312" w:hAnsi="仿宋_GB2312" w:eastAsia="仿宋_GB2312" w:cs="仿宋_GB2312"/>
          <w:sz w:val="28"/>
          <w:szCs w:val="28"/>
        </w:rPr>
        <w:t>年</w:t>
      </w:r>
      <w:r>
        <w:rPr>
          <w:rFonts w:hint="eastAsia" w:ascii="仿宋_GB2312" w:hAnsi="仿宋_GB2312" w:cs="仿宋_GB2312"/>
          <w:sz w:val="28"/>
          <w:szCs w:val="28"/>
          <w:lang w:val="en-US" w:eastAsia="zh-CN"/>
        </w:rPr>
        <w:t>8</w:t>
      </w:r>
      <w:r>
        <w:rPr>
          <w:rFonts w:hint="eastAsia" w:ascii="仿宋_GB2312" w:hAnsi="仿宋_GB2312" w:eastAsia="仿宋_GB2312" w:cs="仿宋_GB2312"/>
          <w:sz w:val="28"/>
          <w:szCs w:val="28"/>
        </w:rPr>
        <w:t>月至200</w:t>
      </w:r>
      <w:r>
        <w:rPr>
          <w:rFonts w:hint="eastAsia" w:ascii="仿宋_GB2312" w:hAnsi="仿宋_GB2312" w:cs="仿宋_GB2312"/>
          <w:sz w:val="28"/>
          <w:szCs w:val="28"/>
          <w:lang w:val="en-US" w:eastAsia="zh-CN"/>
        </w:rPr>
        <w:t>8</w:t>
      </w:r>
      <w:r>
        <w:rPr>
          <w:rFonts w:hint="eastAsia" w:ascii="仿宋_GB2312" w:hAnsi="仿宋_GB2312" w:eastAsia="仿宋_GB2312" w:cs="仿宋_GB2312"/>
          <w:sz w:val="28"/>
          <w:szCs w:val="28"/>
        </w:rPr>
        <w:t>年</w:t>
      </w:r>
      <w:r>
        <w:rPr>
          <w:rFonts w:hint="eastAsia" w:ascii="仿宋_GB2312" w:hAnsi="仿宋_GB2312" w:cs="仿宋_GB2312"/>
          <w:sz w:val="28"/>
          <w:szCs w:val="28"/>
          <w:lang w:val="en-US" w:eastAsia="zh-CN"/>
        </w:rPr>
        <w:t>8</w:t>
      </w:r>
      <w:r>
        <w:rPr>
          <w:rFonts w:hint="eastAsia" w:ascii="仿宋_GB2312" w:hAnsi="仿宋_GB2312" w:eastAsia="仿宋_GB2312" w:cs="仿宋_GB2312"/>
          <w:sz w:val="28"/>
          <w:szCs w:val="28"/>
        </w:rPr>
        <w:t>月期间出生），对年龄条件另有要求的，以岗位要求为准；</w:t>
      </w:r>
    </w:p>
    <w:bookmarkEnd w:id="17"/>
    <w:bookmarkEnd w:id="18"/>
    <w:bookmarkEnd w:id="19"/>
    <w:bookmarkEnd w:id="20"/>
    <w:p w14:paraId="3E54FA1B">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_GB2312" w:hAnsi="仿宋_GB2312" w:eastAsia="仿宋_GB2312" w:cs="仿宋_GB2312"/>
          <w:sz w:val="28"/>
          <w:szCs w:val="28"/>
        </w:rPr>
      </w:pPr>
      <w:bookmarkStart w:id="21" w:name="_Toc4758_WPSOffice_Level2"/>
      <w:bookmarkStart w:id="22" w:name="_Toc10788_WPSOffice_Level2"/>
      <w:bookmarkStart w:id="23" w:name="_Toc26060_WPSOffice_Level2"/>
      <w:bookmarkStart w:id="24" w:name="_Toc19929_WPSOffice_Level2"/>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具备招聘岗位设置的</w:t>
      </w:r>
      <w:r>
        <w:rPr>
          <w:rFonts w:hint="eastAsia" w:ascii="仿宋_GB2312" w:hAnsi="仿宋_GB2312" w:eastAsia="仿宋_GB2312" w:cs="仿宋_GB2312"/>
          <w:sz w:val="28"/>
          <w:szCs w:val="28"/>
          <w:lang w:val="en-US" w:eastAsia="zh-CN"/>
        </w:rPr>
        <w:t>专业</w:t>
      </w:r>
      <w:r>
        <w:rPr>
          <w:rFonts w:hint="eastAsia" w:ascii="仿宋_GB2312" w:hAnsi="仿宋_GB2312" w:eastAsia="仿宋_GB2312" w:cs="仿宋_GB2312"/>
          <w:sz w:val="28"/>
          <w:szCs w:val="28"/>
        </w:rPr>
        <w:t>资格条件</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学历、工作年限、专业要求、资格证书要求等</w:t>
      </w:r>
      <w:r>
        <w:rPr>
          <w:rFonts w:hint="eastAsia" w:ascii="仿宋_GB2312" w:hAnsi="仿宋_GB2312" w:eastAsia="仿宋_GB2312" w:cs="仿宋_GB2312"/>
          <w:sz w:val="28"/>
          <w:szCs w:val="28"/>
        </w:rPr>
        <w:t>。</w:t>
      </w:r>
      <w:bookmarkEnd w:id="21"/>
      <w:bookmarkEnd w:id="22"/>
      <w:bookmarkEnd w:id="23"/>
      <w:bookmarkEnd w:id="24"/>
    </w:p>
    <w:p w14:paraId="4068ECF3">
      <w:pPr>
        <w:pStyle w:val="2"/>
        <w:pageBreakBefore w:val="0"/>
        <w:widowControl w:val="0"/>
        <w:kinsoku/>
        <w:wordWrap/>
        <w:overflowPunct/>
        <w:topLinePunct w:val="0"/>
        <w:autoSpaceDE/>
        <w:autoSpaceDN/>
        <w:bidi w:val="0"/>
        <w:adjustRightInd/>
        <w:snapToGrid/>
        <w:spacing w:line="440" w:lineRule="exact"/>
        <w:textAlignment w:val="auto"/>
      </w:pPr>
      <w:bookmarkStart w:id="25" w:name="_Toc1130"/>
      <w:bookmarkStart w:id="26" w:name="_Toc13464"/>
      <w:bookmarkStart w:id="27" w:name="_Toc16690"/>
      <w:bookmarkStart w:id="28" w:name="_Toc28757"/>
      <w:r>
        <w:rPr>
          <w:rFonts w:hint="eastAsia"/>
          <w:lang w:val="en-US" w:eastAsia="zh-CN"/>
        </w:rPr>
        <w:t>二、</w:t>
      </w:r>
      <w:r>
        <w:rPr>
          <w:rFonts w:hint="eastAsia"/>
        </w:rPr>
        <w:t>不得报考或取消报考（录用）资格的情形</w:t>
      </w:r>
      <w:bookmarkEnd w:id="25"/>
      <w:bookmarkEnd w:id="26"/>
      <w:bookmarkEnd w:id="27"/>
      <w:bookmarkEnd w:id="28"/>
    </w:p>
    <w:p w14:paraId="17148916">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lang w:val="en-US" w:eastAsia="zh-CN"/>
        </w:rPr>
      </w:pPr>
      <w:r>
        <w:rPr>
          <w:rFonts w:hint="eastAsia"/>
          <w:lang w:val="en-US" w:eastAsia="zh-CN"/>
        </w:rPr>
        <w:t>1.曾因犯罪受过刑事处罚的；</w:t>
      </w:r>
    </w:p>
    <w:p w14:paraId="787E4300">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lang w:val="en-US" w:eastAsia="zh-CN"/>
        </w:rPr>
      </w:pPr>
      <w:r>
        <w:rPr>
          <w:rFonts w:hint="eastAsia"/>
          <w:lang w:val="en-US" w:eastAsia="zh-CN"/>
        </w:rPr>
        <w:t>2.曾被开除公职或开除中国共产党党籍的；</w:t>
      </w:r>
    </w:p>
    <w:p w14:paraId="29181CB6">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lang w:val="en-US" w:eastAsia="zh-CN"/>
        </w:rPr>
      </w:pPr>
      <w:r>
        <w:rPr>
          <w:rFonts w:hint="eastAsia"/>
          <w:lang w:val="en-US" w:eastAsia="zh-CN"/>
        </w:rPr>
        <w:t>3.被依法列为失信联合惩戒对象的；</w:t>
      </w:r>
    </w:p>
    <w:p w14:paraId="35CE2FC3">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lang w:val="en-US" w:eastAsia="zh-CN"/>
        </w:rPr>
      </w:pPr>
      <w:r>
        <w:rPr>
          <w:rFonts w:hint="eastAsia"/>
          <w:lang w:val="en-US" w:eastAsia="zh-CN"/>
        </w:rPr>
        <w:t>4.工作期间曾发生医疗事故负有主要责任的；</w:t>
      </w:r>
    </w:p>
    <w:p w14:paraId="7DCB5422">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lang w:val="en-US" w:eastAsia="zh-CN"/>
        </w:rPr>
      </w:pPr>
      <w:r>
        <w:rPr>
          <w:rFonts w:hint="eastAsia"/>
          <w:lang w:val="en-US" w:eastAsia="zh-CN"/>
        </w:rPr>
        <w:t>5.在各级公务员或事业单位招考中被认定有舞弊等严重违反录（聘）用纪律行为的；</w:t>
      </w:r>
    </w:p>
    <w:p w14:paraId="74C3FCE3">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lang w:val="en-US" w:eastAsia="zh-CN"/>
        </w:rPr>
      </w:pPr>
      <w:r>
        <w:rPr>
          <w:rFonts w:hint="eastAsia"/>
          <w:lang w:val="en-US" w:eastAsia="zh-CN"/>
        </w:rPr>
        <w:t>6.公务员或参照公务员法管理机关（单位）工作人员（以下简称“参公人员”）被辞退未满5年的；</w:t>
      </w:r>
    </w:p>
    <w:p w14:paraId="324CCE0C">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lang w:val="en-US" w:eastAsia="zh-CN"/>
        </w:rPr>
      </w:pPr>
      <w:r>
        <w:rPr>
          <w:rFonts w:hint="eastAsia"/>
          <w:lang w:val="en-US" w:eastAsia="zh-CN"/>
        </w:rPr>
        <w:t>7.公务员或参公人员录用后服务年限未达到与当地公务员主管部门或所在单位组织人事部门约定服务年限的；</w:t>
      </w:r>
    </w:p>
    <w:p w14:paraId="703E055E">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lang w:val="en-US" w:eastAsia="zh-CN"/>
        </w:rPr>
      </w:pPr>
      <w:r>
        <w:rPr>
          <w:rFonts w:hint="eastAsia"/>
          <w:lang w:val="en-US" w:eastAsia="zh-CN"/>
        </w:rPr>
        <w:t>8.现役军人及普通高等院校全日制在读的非应届毕业生（即2027年及以后才学业期满的全日制普通教育学生）；</w:t>
      </w:r>
    </w:p>
    <w:p w14:paraId="655E6370">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lang w:val="en-US" w:eastAsia="zh-CN"/>
        </w:rPr>
      </w:pPr>
      <w:r>
        <w:rPr>
          <w:rFonts w:hint="eastAsia"/>
          <w:lang w:val="en-US" w:eastAsia="zh-CN"/>
        </w:rPr>
        <w:t>9.聘用后即构成应回避关系的；</w:t>
      </w:r>
    </w:p>
    <w:p w14:paraId="55E2FB58">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lang w:val="en-US" w:eastAsia="zh-CN"/>
        </w:rPr>
      </w:pPr>
      <w:r>
        <w:rPr>
          <w:rFonts w:hint="eastAsia"/>
          <w:lang w:val="en-US" w:eastAsia="zh-CN"/>
        </w:rPr>
        <w:t>10.法律法规规章规定不得聘为事业单位人员的其他情形。</w:t>
      </w:r>
    </w:p>
    <w:p w14:paraId="3FE4AC02">
      <w:pPr>
        <w:pStyle w:val="2"/>
        <w:pageBreakBefore w:val="0"/>
        <w:widowControl w:val="0"/>
        <w:kinsoku/>
        <w:wordWrap/>
        <w:overflowPunct/>
        <w:topLinePunct w:val="0"/>
        <w:autoSpaceDE/>
        <w:autoSpaceDN/>
        <w:bidi w:val="0"/>
        <w:adjustRightInd/>
        <w:snapToGrid/>
        <w:spacing w:line="440" w:lineRule="exact"/>
        <w:ind w:left="0" w:leftChars="0" w:firstLine="560" w:firstLineChars="200"/>
        <w:textAlignment w:val="auto"/>
      </w:pPr>
      <w:bookmarkStart w:id="29" w:name="_Toc18411"/>
      <w:bookmarkStart w:id="30" w:name="_Toc31201"/>
      <w:bookmarkStart w:id="31" w:name="_Toc12096"/>
      <w:bookmarkStart w:id="32" w:name="_Toc5752"/>
      <w:r>
        <w:rPr>
          <w:rFonts w:hint="eastAsia"/>
          <w:lang w:val="en-US" w:eastAsia="zh-CN"/>
        </w:rPr>
        <w:t>三、</w:t>
      </w:r>
      <w:r>
        <w:rPr>
          <w:rFonts w:hint="eastAsia"/>
        </w:rPr>
        <w:t>选报岗位须知</w:t>
      </w:r>
      <w:bookmarkEnd w:id="29"/>
      <w:bookmarkEnd w:id="30"/>
      <w:bookmarkEnd w:id="31"/>
      <w:bookmarkEnd w:id="32"/>
    </w:p>
    <w:p w14:paraId="42FB93D2">
      <w:pPr>
        <w:pStyle w:val="3"/>
        <w:pageBreakBefore w:val="0"/>
        <w:widowControl w:val="0"/>
        <w:kinsoku/>
        <w:wordWrap/>
        <w:overflowPunct/>
        <w:topLinePunct w:val="0"/>
        <w:autoSpaceDE/>
        <w:autoSpaceDN/>
        <w:bidi w:val="0"/>
        <w:adjustRightInd/>
        <w:snapToGrid/>
        <w:spacing w:line="440" w:lineRule="exact"/>
        <w:textAlignment w:val="auto"/>
        <w:rPr>
          <w:rFonts w:hint="eastAsia"/>
        </w:rPr>
      </w:pPr>
      <w:bookmarkStart w:id="33" w:name="_Toc14652"/>
      <w:bookmarkStart w:id="34" w:name="_Toc5898"/>
      <w:bookmarkStart w:id="35" w:name="_Toc3307"/>
      <w:bookmarkStart w:id="36" w:name="_Toc9312"/>
      <w:r>
        <w:rPr>
          <w:rFonts w:hint="eastAsia"/>
          <w:lang w:eastAsia="zh-CN"/>
        </w:rPr>
        <w:t>（</w:t>
      </w:r>
      <w:r>
        <w:rPr>
          <w:rFonts w:hint="eastAsia"/>
          <w:lang w:val="en-US" w:eastAsia="zh-CN"/>
        </w:rPr>
        <w:t>一）</w:t>
      </w:r>
      <w:r>
        <w:rPr>
          <w:rFonts w:hint="eastAsia"/>
        </w:rPr>
        <w:t>报考资格条件确认</w:t>
      </w:r>
      <w:bookmarkEnd w:id="33"/>
      <w:bookmarkEnd w:id="34"/>
      <w:bookmarkEnd w:id="35"/>
      <w:bookmarkEnd w:id="36"/>
    </w:p>
    <w:p w14:paraId="4311C468">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pPr>
      <w:r>
        <w:rPr>
          <w:rFonts w:hint="eastAsia"/>
        </w:rPr>
        <w:t xml:space="preserve">报考者须在报名时，全面、逐项对照招聘岗位和招聘简章等要求，确认符合报考资格条件。 </w:t>
      </w:r>
    </w:p>
    <w:p w14:paraId="5D651E7E">
      <w:pPr>
        <w:pStyle w:val="3"/>
        <w:pageBreakBefore w:val="0"/>
        <w:widowControl w:val="0"/>
        <w:kinsoku/>
        <w:wordWrap/>
        <w:overflowPunct/>
        <w:topLinePunct w:val="0"/>
        <w:autoSpaceDE/>
        <w:autoSpaceDN/>
        <w:bidi w:val="0"/>
        <w:adjustRightInd/>
        <w:snapToGrid/>
        <w:spacing w:line="440" w:lineRule="exact"/>
        <w:textAlignment w:val="auto"/>
        <w:rPr>
          <w:rFonts w:hint="eastAsia"/>
        </w:rPr>
      </w:pPr>
      <w:bookmarkStart w:id="37" w:name="_Toc32531"/>
      <w:bookmarkStart w:id="38" w:name="_Toc13378"/>
      <w:r>
        <w:rPr>
          <w:rFonts w:hint="eastAsia"/>
          <w:lang w:val="en-US" w:eastAsia="zh-CN"/>
        </w:rPr>
        <w:t>（二）</w:t>
      </w:r>
      <w:r>
        <w:rPr>
          <w:rFonts w:hint="eastAsia"/>
        </w:rPr>
        <w:t>简历填写</w:t>
      </w:r>
      <w:bookmarkEnd w:id="37"/>
      <w:bookmarkEnd w:id="38"/>
      <w:bookmarkStart w:id="39" w:name="_Toc11175"/>
      <w:bookmarkStart w:id="40" w:name="_Toc4830"/>
      <w:bookmarkStart w:id="41" w:name="_Toc28349"/>
      <w:bookmarkStart w:id="42" w:name="_Toc5535"/>
      <w:bookmarkStart w:id="43" w:name="_Toc29293"/>
    </w:p>
    <w:p w14:paraId="74C8D02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firstLineChars="200"/>
        <w:textAlignment w:val="auto"/>
        <w:rPr>
          <w:rFonts w:hint="eastAsia"/>
        </w:rPr>
      </w:pPr>
      <w:r>
        <w:rPr>
          <w:rFonts w:hint="eastAsia" w:cstheme="minorBidi"/>
          <w:kern w:val="2"/>
          <w:sz w:val="28"/>
          <w:szCs w:val="22"/>
          <w:lang w:val="en-US" w:eastAsia="zh-CN" w:bidi="ar-SA"/>
        </w:rPr>
        <w:t>1.</w:t>
      </w:r>
      <w:r>
        <w:rPr>
          <w:rFonts w:hint="eastAsia"/>
        </w:rPr>
        <w:t>报考者须如实反映各阶段的就学、就业、待业等状态，原则上应从高中起填写。</w:t>
      </w:r>
      <w:bookmarkEnd w:id="39"/>
      <w:bookmarkEnd w:id="40"/>
      <w:bookmarkEnd w:id="41"/>
      <w:bookmarkEnd w:id="42"/>
      <w:bookmarkEnd w:id="43"/>
    </w:p>
    <w:p w14:paraId="3236255B">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rPr>
      </w:pPr>
      <w:r>
        <w:rPr>
          <w:rFonts w:hint="eastAsia"/>
          <w:lang w:val="en-US" w:eastAsia="zh-CN"/>
        </w:rPr>
        <w:t>2.</w:t>
      </w:r>
      <w:r>
        <w:rPr>
          <w:rFonts w:hint="eastAsia"/>
        </w:rPr>
        <w:t>在机关事业单位工作的，须注明单位性质（机关、参公单位、非参公事业单位）和本人身份（公务员、参公事业编制人员、非参公事业编制人员、编外人员）。</w:t>
      </w:r>
    </w:p>
    <w:p w14:paraId="0D2A9117">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rPr>
      </w:pPr>
      <w:r>
        <w:rPr>
          <w:rFonts w:hint="eastAsia"/>
          <w:lang w:val="en-US" w:eastAsia="zh-CN"/>
        </w:rPr>
        <w:t>3.</w:t>
      </w:r>
      <w:r>
        <w:rPr>
          <w:rFonts w:hint="eastAsia"/>
        </w:rPr>
        <w:t>部队、武警相关单位工作人员须注明“现役人员”还是“非现役文职人员”，或者“合同制职员”等。</w:t>
      </w:r>
    </w:p>
    <w:p w14:paraId="22C1DAF8">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rPr>
      </w:pPr>
      <w:r>
        <w:rPr>
          <w:rFonts w:hint="eastAsia"/>
          <w:lang w:val="en-US" w:eastAsia="zh-CN"/>
        </w:rPr>
        <w:t>4.</w:t>
      </w:r>
      <w:r>
        <w:rPr>
          <w:rFonts w:hint="eastAsia"/>
        </w:rPr>
        <w:t>在读人员须注明教育类别是“全日制普教”还是“非全日制普教”。</w:t>
      </w:r>
    </w:p>
    <w:p w14:paraId="3284A00C">
      <w:pPr>
        <w:pStyle w:val="3"/>
        <w:pageBreakBefore w:val="0"/>
        <w:widowControl w:val="0"/>
        <w:kinsoku/>
        <w:wordWrap/>
        <w:overflowPunct/>
        <w:topLinePunct w:val="0"/>
        <w:autoSpaceDE/>
        <w:autoSpaceDN/>
        <w:bidi w:val="0"/>
        <w:adjustRightInd/>
        <w:snapToGrid/>
        <w:spacing w:line="440" w:lineRule="exact"/>
        <w:textAlignment w:val="auto"/>
      </w:pPr>
      <w:bookmarkStart w:id="44" w:name="_Toc6973"/>
      <w:bookmarkStart w:id="45" w:name="_Toc21604"/>
      <w:bookmarkStart w:id="46" w:name="_Toc14467"/>
      <w:bookmarkStart w:id="47" w:name="_Toc7117"/>
      <w:r>
        <w:rPr>
          <w:rFonts w:hint="eastAsia"/>
          <w:lang w:eastAsia="zh-CN"/>
        </w:rPr>
        <w:t>（</w:t>
      </w:r>
      <w:r>
        <w:rPr>
          <w:rFonts w:hint="eastAsia"/>
          <w:lang w:val="en-US" w:eastAsia="zh-CN"/>
        </w:rPr>
        <w:t>三）</w:t>
      </w:r>
      <w:r>
        <w:rPr>
          <w:rFonts w:hint="eastAsia"/>
        </w:rPr>
        <w:t>年龄的计算办法</w:t>
      </w:r>
      <w:bookmarkEnd w:id="44"/>
      <w:bookmarkEnd w:id="45"/>
      <w:bookmarkEnd w:id="46"/>
      <w:bookmarkEnd w:id="47"/>
    </w:p>
    <w:p w14:paraId="47509EBF">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rPr>
      </w:pPr>
      <w:r>
        <w:rPr>
          <w:rFonts w:hint="eastAsia"/>
        </w:rPr>
        <w:t>如无特别说明，相关年限的计算、证书取得时间等，</w:t>
      </w:r>
      <w:r>
        <w:rPr>
          <w:rFonts w:hint="eastAsia"/>
          <w:lang w:eastAsia="zh-CN"/>
        </w:rPr>
        <w:t>均</w:t>
      </w:r>
      <w:r>
        <w:rPr>
          <w:rFonts w:hint="eastAsia"/>
        </w:rPr>
        <w:t>计算截至报名截止当月（202</w:t>
      </w:r>
      <w:r>
        <w:rPr>
          <w:rFonts w:hint="eastAsia"/>
          <w:lang w:val="en-US" w:eastAsia="zh-CN"/>
        </w:rPr>
        <w:t>6</w:t>
      </w:r>
      <w:r>
        <w:rPr>
          <w:rFonts w:hint="eastAsia"/>
        </w:rPr>
        <w:t>年</w:t>
      </w:r>
      <w:r>
        <w:rPr>
          <w:rFonts w:hint="eastAsia"/>
          <w:lang w:val="en-US" w:eastAsia="zh-CN"/>
        </w:rPr>
        <w:t>8</w:t>
      </w:r>
      <w:r>
        <w:rPr>
          <w:rFonts w:hint="eastAsia"/>
        </w:rPr>
        <w:t>月）。</w:t>
      </w:r>
    </w:p>
    <w:p w14:paraId="3F48A0C3">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rPr>
      </w:pPr>
      <w:r>
        <w:rPr>
          <w:rFonts w:hint="eastAsia"/>
        </w:rPr>
        <w:t>最高年龄要求</w:t>
      </w:r>
      <w:r>
        <w:rPr>
          <w:rFonts w:hint="eastAsia"/>
          <w:lang w:val="en-US" w:eastAsia="zh-CN"/>
        </w:rPr>
        <w:t>38</w:t>
      </w:r>
      <w:r>
        <w:rPr>
          <w:rFonts w:hint="eastAsia"/>
        </w:rPr>
        <w:t>周岁是指已满18周岁、未满</w:t>
      </w:r>
      <w:r>
        <w:rPr>
          <w:rFonts w:hint="eastAsia"/>
          <w:lang w:val="en-US" w:eastAsia="zh-CN"/>
        </w:rPr>
        <w:t>39</w:t>
      </w:r>
      <w:r>
        <w:rPr>
          <w:rFonts w:hint="eastAsia"/>
        </w:rPr>
        <w:t>周岁（在198</w:t>
      </w:r>
      <w:r>
        <w:rPr>
          <w:rFonts w:hint="eastAsia"/>
          <w:lang w:val="en-US" w:eastAsia="zh-CN"/>
        </w:rPr>
        <w:t>8</w:t>
      </w:r>
      <w:r>
        <w:rPr>
          <w:rFonts w:hint="eastAsia"/>
        </w:rPr>
        <w:t>年</w:t>
      </w:r>
      <w:r>
        <w:rPr>
          <w:rFonts w:hint="eastAsia"/>
          <w:lang w:val="en-US" w:eastAsia="zh-CN"/>
        </w:rPr>
        <w:t>8</w:t>
      </w:r>
      <w:r>
        <w:rPr>
          <w:rFonts w:hint="eastAsia"/>
        </w:rPr>
        <w:t>月至200</w:t>
      </w:r>
      <w:r>
        <w:rPr>
          <w:rFonts w:hint="eastAsia"/>
          <w:lang w:val="en-US" w:eastAsia="zh-CN"/>
        </w:rPr>
        <w:t>8</w:t>
      </w:r>
      <w:r>
        <w:rPr>
          <w:rFonts w:hint="eastAsia"/>
        </w:rPr>
        <w:t>年</w:t>
      </w:r>
      <w:r>
        <w:rPr>
          <w:rFonts w:hint="eastAsia"/>
          <w:lang w:val="en-US" w:eastAsia="zh-CN"/>
        </w:rPr>
        <w:t>8</w:t>
      </w:r>
      <w:r>
        <w:rPr>
          <w:rFonts w:hint="eastAsia"/>
        </w:rPr>
        <w:t>月期间出生的人员），具体计算到月。</w:t>
      </w:r>
    </w:p>
    <w:p w14:paraId="56008A59">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rPr>
      </w:pPr>
      <w:r>
        <w:rPr>
          <w:rFonts w:hint="eastAsia"/>
        </w:rPr>
        <w:t>其他年龄要求</w:t>
      </w:r>
      <w:r>
        <w:rPr>
          <w:rFonts w:hint="eastAsia"/>
          <w:lang w:eastAsia="zh-CN"/>
        </w:rPr>
        <w:t>以此类推</w:t>
      </w:r>
      <w:r>
        <w:rPr>
          <w:rFonts w:hint="eastAsia"/>
        </w:rPr>
        <w:t>。</w:t>
      </w:r>
    </w:p>
    <w:p w14:paraId="2A5D9E57">
      <w:pPr>
        <w:pStyle w:val="2"/>
        <w:pageBreakBefore w:val="0"/>
        <w:widowControl w:val="0"/>
        <w:kinsoku/>
        <w:wordWrap/>
        <w:overflowPunct/>
        <w:topLinePunct w:val="0"/>
        <w:autoSpaceDE/>
        <w:autoSpaceDN/>
        <w:bidi w:val="0"/>
        <w:adjustRightInd/>
        <w:snapToGrid/>
        <w:spacing w:line="440" w:lineRule="exact"/>
        <w:textAlignment w:val="auto"/>
        <w:rPr>
          <w:rFonts w:hint="eastAsia"/>
        </w:rPr>
      </w:pPr>
      <w:bookmarkStart w:id="48" w:name="_Toc22037"/>
      <w:bookmarkStart w:id="49" w:name="_Toc6166"/>
      <w:r>
        <w:rPr>
          <w:rFonts w:hint="eastAsia"/>
          <w:lang w:val="en-US" w:eastAsia="zh-CN"/>
        </w:rPr>
        <w:t>四、</w:t>
      </w:r>
      <w:r>
        <w:rPr>
          <w:rFonts w:hint="eastAsia"/>
        </w:rPr>
        <w:t>回避情形</w:t>
      </w:r>
      <w:bookmarkEnd w:id="48"/>
      <w:bookmarkEnd w:id="49"/>
    </w:p>
    <w:p w14:paraId="792658A8">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pPr>
      <w:r>
        <w:rPr>
          <w:rFonts w:hint="eastAsia"/>
        </w:rPr>
        <w:t>工作人员凡有下列亲属关系的，不得在同一单位录用至具有直接上下级领导关系的管理岗位，不得在其中一方担任领导人员的单位录用至从事组织</w:t>
      </w:r>
      <w:r>
        <w:rPr>
          <w:rFonts w:hint="eastAsia"/>
          <w:lang w:eastAsia="zh-CN"/>
        </w:rPr>
        <w:t>（</w:t>
      </w:r>
      <w:r>
        <w:rPr>
          <w:rFonts w:hint="eastAsia"/>
        </w:rPr>
        <w:t>人事</w:t>
      </w:r>
      <w:r>
        <w:rPr>
          <w:rFonts w:hint="eastAsia"/>
          <w:lang w:eastAsia="zh-CN"/>
        </w:rPr>
        <w:t>）</w:t>
      </w:r>
      <w:r>
        <w:rPr>
          <w:rFonts w:hint="eastAsia"/>
        </w:rPr>
        <w:t>、纪检监察、审计、财务工作的岗位，也不得录用至双方直接隶属于同一领导人员的从事组织</w:t>
      </w:r>
      <w:r>
        <w:rPr>
          <w:rFonts w:hint="eastAsia"/>
          <w:lang w:eastAsia="zh-CN"/>
        </w:rPr>
        <w:t>（</w:t>
      </w:r>
      <w:r>
        <w:rPr>
          <w:rFonts w:hint="eastAsia"/>
        </w:rPr>
        <w:t>人事</w:t>
      </w:r>
      <w:r>
        <w:rPr>
          <w:rFonts w:hint="eastAsia"/>
          <w:lang w:eastAsia="zh-CN"/>
        </w:rPr>
        <w:t>）</w:t>
      </w:r>
      <w:r>
        <w:rPr>
          <w:rFonts w:hint="eastAsia"/>
        </w:rPr>
        <w:t>、纪检监察、审计、财务工作的内设机构正职岗位：</w:t>
      </w:r>
    </w:p>
    <w:p w14:paraId="74AFC429">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pPr>
      <w:r>
        <w:t>1.</w:t>
      </w:r>
      <w:r>
        <w:rPr>
          <w:rFonts w:hint="eastAsia"/>
        </w:rPr>
        <w:t>夫妻关系</w:t>
      </w:r>
      <w:r>
        <w:rPr>
          <w:rFonts w:hint="eastAsia"/>
          <w:lang w:eastAsia="zh-CN"/>
        </w:rPr>
        <w:t>；</w:t>
      </w:r>
    </w:p>
    <w:p w14:paraId="5F05C1F1">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pPr>
      <w:r>
        <w:t>2.</w:t>
      </w:r>
      <w:r>
        <w:rPr>
          <w:rFonts w:hint="eastAsia"/>
        </w:rPr>
        <w:t>直系血亲关系，包括祖父母、外祖父母、父母、子女、孙子女、外孙子女</w:t>
      </w:r>
      <w:r>
        <w:rPr>
          <w:rFonts w:hint="eastAsia"/>
          <w:lang w:eastAsia="zh-CN"/>
        </w:rPr>
        <w:t>；</w:t>
      </w:r>
    </w:p>
    <w:p w14:paraId="720357EF">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pPr>
      <w:r>
        <w:t>3.</w:t>
      </w:r>
      <w:r>
        <w:rPr>
          <w:rFonts w:hint="eastAsia"/>
        </w:rPr>
        <w:t>三代以内旁系血亲关系，包括叔伯姑舅姨、兄弟姐妹、堂兄弟姐妹、表兄弟姐妹、侄子女、甥子女</w:t>
      </w:r>
      <w:r>
        <w:rPr>
          <w:rFonts w:hint="eastAsia"/>
          <w:lang w:eastAsia="zh-CN"/>
        </w:rPr>
        <w:t>；</w:t>
      </w:r>
    </w:p>
    <w:p w14:paraId="3085DE7C">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pPr>
      <w:r>
        <w:t>4.</w:t>
      </w:r>
      <w:r>
        <w:rPr>
          <w:rFonts w:hint="eastAsia"/>
        </w:rPr>
        <w:t>近姻亲关系，包括配偶的父母、配偶的兄弟姐妹及其配偶、子女的配偶及子女配偶的父母、三代以内旁系血亲的配偶</w:t>
      </w:r>
      <w:r>
        <w:rPr>
          <w:rFonts w:hint="eastAsia"/>
          <w:lang w:eastAsia="zh-CN"/>
        </w:rPr>
        <w:t>；</w:t>
      </w:r>
    </w:p>
    <w:p w14:paraId="68451D7D">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pPr>
      <w:r>
        <w:t>5.</w:t>
      </w:r>
      <w:r>
        <w:rPr>
          <w:rFonts w:hint="eastAsia"/>
        </w:rPr>
        <w:t>其他亲属关系，包括养父母子女、形成抚养关系的继父母子女及由此形成的直系血亲、三代以内旁系血亲和近姻亲关系。</w:t>
      </w:r>
    </w:p>
    <w:p w14:paraId="7051C4C3">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pPr>
      <w:r>
        <w:rPr>
          <w:rFonts w:hint="eastAsia"/>
        </w:rPr>
        <w:t>所称直接上下级领导关系包括：</w:t>
      </w:r>
    </w:p>
    <w:p w14:paraId="5E837B2B">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pPr>
      <w:r>
        <w:t>1.</w:t>
      </w:r>
      <w:r>
        <w:rPr>
          <w:rFonts w:hint="eastAsia"/>
        </w:rPr>
        <w:t>领导班子正职与副职</w:t>
      </w:r>
      <w:r>
        <w:rPr>
          <w:rFonts w:hint="eastAsia"/>
          <w:lang w:eastAsia="zh-CN"/>
        </w:rPr>
        <w:t>；</w:t>
      </w:r>
    </w:p>
    <w:p w14:paraId="0D18C669">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pPr>
      <w:r>
        <w:t>2.</w:t>
      </w:r>
      <w:r>
        <w:rPr>
          <w:rFonts w:hint="eastAsia"/>
        </w:rPr>
        <w:t>同一内设机构正职与副职</w:t>
      </w:r>
      <w:r>
        <w:rPr>
          <w:rFonts w:hint="eastAsia"/>
          <w:lang w:eastAsia="zh-CN"/>
        </w:rPr>
        <w:t>；</w:t>
      </w:r>
    </w:p>
    <w:p w14:paraId="17AED93F">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pPr>
      <w:r>
        <w:t>3.</w:t>
      </w:r>
      <w:r>
        <w:rPr>
          <w:rFonts w:hint="eastAsia"/>
        </w:rPr>
        <w:t>上级正职、副职与下级正职</w:t>
      </w:r>
      <w:r>
        <w:rPr>
          <w:rFonts w:hint="eastAsia"/>
          <w:lang w:eastAsia="zh-CN"/>
        </w:rPr>
        <w:t>；</w:t>
      </w:r>
    </w:p>
    <w:p w14:paraId="2E1AB70A">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pPr>
      <w:r>
        <w:t>4.</w:t>
      </w:r>
      <w:r>
        <w:rPr>
          <w:rFonts w:hint="eastAsia"/>
        </w:rPr>
        <w:t>单位无内设机构的，其正职、副职与其他管理人员以及从事审计、财务工作的专业技术人员</w:t>
      </w:r>
      <w:r>
        <w:rPr>
          <w:rFonts w:hint="eastAsia"/>
          <w:lang w:eastAsia="zh-CN"/>
        </w:rPr>
        <w:t>；</w:t>
      </w:r>
    </w:p>
    <w:p w14:paraId="032488D2">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pPr>
      <w:r>
        <w:t>5.</w:t>
      </w:r>
      <w:r>
        <w:rPr>
          <w:rFonts w:hint="eastAsia"/>
        </w:rPr>
        <w:t>内设机构无下一级单位的，其正职、副职与其他管理人员以及从事审计、财务工作的专业技术人员。</w:t>
      </w:r>
    </w:p>
    <w:p w14:paraId="392E9588">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pPr>
      <w:r>
        <w:rPr>
          <w:rFonts w:hint="eastAsia"/>
        </w:rPr>
        <w:t>从事招聘工作的人员存在应当回避情形的，须实行履职回避。</w:t>
      </w:r>
    </w:p>
    <w:p w14:paraId="1316D06F">
      <w:pPr>
        <w:pStyle w:val="2"/>
        <w:pageBreakBefore w:val="0"/>
        <w:widowControl w:val="0"/>
        <w:kinsoku/>
        <w:wordWrap/>
        <w:overflowPunct/>
        <w:topLinePunct w:val="0"/>
        <w:autoSpaceDE/>
        <w:autoSpaceDN/>
        <w:bidi w:val="0"/>
        <w:adjustRightInd/>
        <w:snapToGrid/>
        <w:spacing w:line="440" w:lineRule="exact"/>
        <w:textAlignment w:val="auto"/>
        <w:rPr>
          <w:rFonts w:hint="eastAsia" w:eastAsia="黑体"/>
          <w:lang w:val="en-US" w:eastAsia="zh-CN"/>
        </w:rPr>
      </w:pPr>
      <w:bookmarkStart w:id="50" w:name="_Toc15826"/>
      <w:bookmarkStart w:id="51" w:name="_Toc12506"/>
      <w:bookmarkStart w:id="52" w:name="_Toc27420"/>
      <w:bookmarkStart w:id="53" w:name="_Toc14880"/>
      <w:r>
        <w:rPr>
          <w:rFonts w:hint="eastAsia"/>
          <w:lang w:val="en-US" w:eastAsia="zh-CN"/>
        </w:rPr>
        <w:t>五、</w:t>
      </w:r>
      <w:r>
        <w:rPr>
          <w:rFonts w:hint="eastAsia"/>
        </w:rPr>
        <w:t>学历（位）认定</w:t>
      </w:r>
      <w:bookmarkEnd w:id="50"/>
      <w:bookmarkEnd w:id="51"/>
      <w:bookmarkEnd w:id="52"/>
      <w:bookmarkEnd w:id="53"/>
      <w:bookmarkStart w:id="54" w:name="_Toc14664"/>
    </w:p>
    <w:p w14:paraId="5127E6F2">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pPr>
      <w:r>
        <w:rPr>
          <w:rFonts w:hint="eastAsia"/>
        </w:rPr>
        <w:t>报考者的学历应为国家承认的国民教育序列学历。</w:t>
      </w:r>
    </w:p>
    <w:p w14:paraId="3F7A0B8D">
      <w:pPr>
        <w:pStyle w:val="3"/>
        <w:pageBreakBefore w:val="0"/>
        <w:widowControl w:val="0"/>
        <w:kinsoku/>
        <w:wordWrap/>
        <w:overflowPunct/>
        <w:topLinePunct w:val="0"/>
        <w:autoSpaceDE/>
        <w:autoSpaceDN/>
        <w:bidi w:val="0"/>
        <w:adjustRightInd/>
        <w:snapToGrid/>
        <w:spacing w:line="440" w:lineRule="exact"/>
        <w:textAlignment w:val="auto"/>
      </w:pPr>
      <w:bookmarkStart w:id="55" w:name="_Toc14475"/>
      <w:bookmarkStart w:id="56" w:name="_Toc11207"/>
      <w:r>
        <w:rPr>
          <w:rFonts w:hint="eastAsia"/>
          <w:lang w:val="en-US" w:eastAsia="zh-CN"/>
        </w:rPr>
        <w:t>（一）</w:t>
      </w:r>
      <w:r>
        <w:rPr>
          <w:rFonts w:hint="eastAsia"/>
        </w:rPr>
        <w:t>境内学历（位）</w:t>
      </w:r>
      <w:bookmarkEnd w:id="54"/>
      <w:bookmarkEnd w:id="55"/>
      <w:bookmarkEnd w:id="56"/>
    </w:p>
    <w:p w14:paraId="288A58EC">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pPr>
      <w:r>
        <w:rPr>
          <w:rFonts w:hint="eastAsia"/>
        </w:rPr>
        <w:t>用于报考的学历（位）（含自学考试、成人教育、网络教育、夜大、电大等）应在中国高等教育学生信息网（简称“学信网”，http://www.chsi.com.cn</w:t>
      </w:r>
      <w:r>
        <w:rPr>
          <w:rFonts w:hint="eastAsia"/>
          <w:lang w:eastAsia="zh-CN"/>
        </w:rPr>
        <w:t>）</w:t>
      </w:r>
      <w:r>
        <w:rPr>
          <w:rFonts w:hint="eastAsia"/>
        </w:rPr>
        <w:t>上可查询认证。已取得国家承认的列入国民教育序列学历的报考者，以辅修专业报考的，其专业资格也可以按照本人同时收录在“学信网”“学信档案”版块“学历信息”和“学位信息”栏目的辅修专业信息予以认定。</w:t>
      </w:r>
    </w:p>
    <w:p w14:paraId="6810D8C8">
      <w:pPr>
        <w:pStyle w:val="3"/>
        <w:pageBreakBefore w:val="0"/>
        <w:widowControl w:val="0"/>
        <w:kinsoku/>
        <w:wordWrap/>
        <w:overflowPunct/>
        <w:topLinePunct w:val="0"/>
        <w:autoSpaceDE/>
        <w:autoSpaceDN/>
        <w:bidi w:val="0"/>
        <w:adjustRightInd/>
        <w:snapToGrid/>
        <w:spacing w:line="440" w:lineRule="exact"/>
        <w:textAlignment w:val="auto"/>
      </w:pPr>
      <w:bookmarkStart w:id="57" w:name="_Toc1712"/>
      <w:bookmarkStart w:id="58" w:name="_Toc21286"/>
      <w:r>
        <w:rPr>
          <w:rFonts w:hint="eastAsia"/>
          <w:lang w:val="en-US" w:eastAsia="zh-CN"/>
        </w:rPr>
        <w:t>（二）</w:t>
      </w:r>
      <w:r>
        <w:rPr>
          <w:rFonts w:hint="eastAsia"/>
        </w:rPr>
        <w:t>第二学士学位</w:t>
      </w:r>
      <w:bookmarkEnd w:id="57"/>
      <w:bookmarkEnd w:id="58"/>
    </w:p>
    <w:p w14:paraId="6D82F6F0">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pPr>
      <w:r>
        <w:rPr>
          <w:rFonts w:hint="eastAsia"/>
        </w:rPr>
        <w:t>根据《教育部办公厅关于在普通高校继续开展第二学士学位教育的通知》（教高厅函〔2020〕9号）取得第二学士学位的毕业证书和学位证书，按上述要求进行查询认证。</w:t>
      </w:r>
    </w:p>
    <w:p w14:paraId="1840960C">
      <w:pPr>
        <w:pStyle w:val="3"/>
        <w:pageBreakBefore w:val="0"/>
        <w:widowControl w:val="0"/>
        <w:kinsoku/>
        <w:wordWrap/>
        <w:overflowPunct/>
        <w:topLinePunct w:val="0"/>
        <w:autoSpaceDE/>
        <w:autoSpaceDN/>
        <w:bidi w:val="0"/>
        <w:adjustRightInd/>
        <w:snapToGrid/>
        <w:spacing w:line="440" w:lineRule="exact"/>
        <w:textAlignment w:val="auto"/>
      </w:pPr>
      <w:bookmarkStart w:id="59" w:name="_Toc25881"/>
      <w:bookmarkStart w:id="60" w:name="_Toc14159"/>
      <w:r>
        <w:rPr>
          <w:rFonts w:hint="eastAsia"/>
          <w:lang w:val="en-US" w:eastAsia="zh-CN"/>
        </w:rPr>
        <w:t>（三）</w:t>
      </w:r>
      <w:r>
        <w:rPr>
          <w:rFonts w:hint="eastAsia"/>
        </w:rPr>
        <w:t>国（境）外学历（位）</w:t>
      </w:r>
      <w:bookmarkEnd w:id="59"/>
      <w:bookmarkEnd w:id="60"/>
    </w:p>
    <w:p w14:paraId="7013A1EA">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pPr>
      <w:r>
        <w:rPr>
          <w:rFonts w:hint="eastAsia"/>
        </w:rPr>
        <w:t>持境外学历（位）报考的，或者属于国内院校与国外院校联合办学取得境外学历（位）的，应提供教育部留学服务中心出具的有效证明材料。</w:t>
      </w:r>
    </w:p>
    <w:p w14:paraId="1E1025DF">
      <w:pPr>
        <w:pStyle w:val="3"/>
        <w:pageBreakBefore w:val="0"/>
        <w:widowControl w:val="0"/>
        <w:kinsoku/>
        <w:wordWrap/>
        <w:overflowPunct/>
        <w:topLinePunct w:val="0"/>
        <w:autoSpaceDE/>
        <w:autoSpaceDN/>
        <w:bidi w:val="0"/>
        <w:adjustRightInd/>
        <w:snapToGrid/>
        <w:spacing w:line="440" w:lineRule="exact"/>
        <w:textAlignment w:val="auto"/>
      </w:pPr>
      <w:bookmarkStart w:id="61" w:name="_Toc17891"/>
      <w:bookmarkStart w:id="62" w:name="_Toc30934"/>
      <w:r>
        <w:rPr>
          <w:rFonts w:hint="eastAsia"/>
          <w:lang w:eastAsia="zh-CN"/>
        </w:rPr>
        <w:t>（</w:t>
      </w:r>
      <w:r>
        <w:rPr>
          <w:rFonts w:hint="eastAsia"/>
          <w:lang w:val="en-US" w:eastAsia="zh-CN"/>
        </w:rPr>
        <w:t>四）</w:t>
      </w:r>
      <w:r>
        <w:rPr>
          <w:rFonts w:hint="eastAsia"/>
        </w:rPr>
        <w:t>我省“双学位”“双专业”学历</w:t>
      </w:r>
      <w:bookmarkEnd w:id="61"/>
      <w:bookmarkEnd w:id="62"/>
    </w:p>
    <w:p w14:paraId="374F2DE9">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pPr>
      <w:r>
        <w:rPr>
          <w:rFonts w:hint="eastAsia"/>
        </w:rPr>
        <w:t>根据《关于在全省高校毕业生中试行“双学位”“双专业”教育的意见》（闽教高〔2009〕9号），经修读达到毕业条件并获得“双学位”“双专业”证书的报考者，在本省范围内承认其学历、学位。</w:t>
      </w:r>
    </w:p>
    <w:p w14:paraId="4853E2A0">
      <w:pPr>
        <w:pStyle w:val="2"/>
        <w:pageBreakBefore w:val="0"/>
        <w:widowControl w:val="0"/>
        <w:kinsoku/>
        <w:wordWrap/>
        <w:overflowPunct/>
        <w:topLinePunct w:val="0"/>
        <w:autoSpaceDE/>
        <w:autoSpaceDN/>
        <w:bidi w:val="0"/>
        <w:adjustRightInd/>
        <w:snapToGrid/>
        <w:spacing w:line="440" w:lineRule="exact"/>
        <w:textAlignment w:val="auto"/>
        <w:rPr>
          <w:rFonts w:hint="eastAsia" w:eastAsia="黑体"/>
          <w:lang w:val="en-US" w:eastAsia="zh-CN"/>
        </w:rPr>
      </w:pPr>
      <w:bookmarkStart w:id="63" w:name="_Toc3176"/>
      <w:bookmarkStart w:id="64" w:name="_Toc4901"/>
      <w:bookmarkStart w:id="65" w:name="_Toc16464"/>
      <w:bookmarkStart w:id="66" w:name="_Toc24401"/>
      <w:r>
        <w:rPr>
          <w:rFonts w:hint="eastAsia"/>
          <w:lang w:val="en-US" w:eastAsia="zh-CN"/>
        </w:rPr>
        <w:t>六、</w:t>
      </w:r>
      <w:r>
        <w:rPr>
          <w:rFonts w:hint="eastAsia"/>
        </w:rPr>
        <w:t>专业</w:t>
      </w:r>
      <w:r>
        <w:rPr>
          <w:rFonts w:hint="eastAsia"/>
          <w:lang w:val="en-US" w:eastAsia="zh-CN"/>
        </w:rPr>
        <w:t>说明</w:t>
      </w:r>
      <w:bookmarkEnd w:id="63"/>
    </w:p>
    <w:p w14:paraId="550A3C40">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rPr>
      </w:pPr>
      <w:r>
        <w:rPr>
          <w:rFonts w:hint="eastAsia"/>
        </w:rPr>
        <w:t>本次招考以《福建省2026年度考试录用公务员专业指导目录》（文中简称《专业指导目录》）作为岗位专业条件设置和审核的依据。其他来源的专业指导目录不作为本次报考和审核的依据。</w:t>
      </w:r>
    </w:p>
    <w:p w14:paraId="24FF4053">
      <w:pPr>
        <w:pStyle w:val="3"/>
        <w:pageBreakBefore w:val="0"/>
        <w:widowControl w:val="0"/>
        <w:kinsoku/>
        <w:wordWrap/>
        <w:overflowPunct/>
        <w:topLinePunct w:val="0"/>
        <w:autoSpaceDE/>
        <w:autoSpaceDN/>
        <w:bidi w:val="0"/>
        <w:adjustRightInd/>
        <w:snapToGrid/>
        <w:spacing w:line="440" w:lineRule="exact"/>
        <w:textAlignment w:val="auto"/>
        <w:rPr>
          <w:rFonts w:hint="eastAsia"/>
        </w:rPr>
      </w:pPr>
      <w:bookmarkStart w:id="67" w:name="_Toc8876"/>
      <w:r>
        <w:rPr>
          <w:rFonts w:hint="eastAsia"/>
          <w:lang w:val="en-US" w:eastAsia="zh-CN"/>
        </w:rPr>
        <w:t>（一）</w:t>
      </w:r>
      <w:r>
        <w:rPr>
          <w:rFonts w:hint="eastAsia"/>
        </w:rPr>
        <w:t>填报专业名称</w:t>
      </w:r>
      <w:bookmarkEnd w:id="67"/>
    </w:p>
    <w:p w14:paraId="29AAB690">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rPr>
      </w:pPr>
      <w:r>
        <w:rPr>
          <w:rFonts w:hint="eastAsia"/>
        </w:rPr>
        <w:t>专业以毕业证书上注明的为准，报考者应只字不差、如实填写。</w:t>
      </w:r>
    </w:p>
    <w:p w14:paraId="1B6B1F69">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rPr>
      </w:pPr>
      <w:r>
        <w:rPr>
          <w:rFonts w:hint="eastAsia"/>
        </w:rPr>
        <w:t>若所学专业在招生和培养时有专业方向</w:t>
      </w:r>
      <w:r>
        <w:rPr>
          <w:rFonts w:hint="eastAsia"/>
          <w:lang w:eastAsia="zh-CN"/>
        </w:rPr>
        <w:t>，</w:t>
      </w:r>
      <w:r>
        <w:rPr>
          <w:rFonts w:hint="eastAsia"/>
        </w:rPr>
        <w:t>但未在毕业证书上体现的，应先按照毕业证书上注明的专业填写，并在网络报名系统的考生信息表备注栏中说明，再按照招聘单位要求提供学校教务部门出具的证明材料。</w:t>
      </w:r>
    </w:p>
    <w:p w14:paraId="3CBD7D02">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rPr>
      </w:pPr>
      <w:r>
        <w:rPr>
          <w:rFonts w:hint="eastAsia"/>
        </w:rPr>
        <w:t>以境外学历报考且专业名称为非汉语的，以教育部留学服务中心出具的相关证明为准。</w:t>
      </w:r>
    </w:p>
    <w:p w14:paraId="147306F3">
      <w:pPr>
        <w:pStyle w:val="3"/>
        <w:pageBreakBefore w:val="0"/>
        <w:widowControl w:val="0"/>
        <w:kinsoku/>
        <w:wordWrap/>
        <w:overflowPunct/>
        <w:topLinePunct w:val="0"/>
        <w:autoSpaceDE/>
        <w:autoSpaceDN/>
        <w:bidi w:val="0"/>
        <w:adjustRightInd/>
        <w:snapToGrid/>
        <w:spacing w:line="440" w:lineRule="exact"/>
        <w:textAlignment w:val="auto"/>
        <w:rPr>
          <w:rFonts w:hint="eastAsia"/>
        </w:rPr>
      </w:pPr>
      <w:bookmarkStart w:id="68" w:name="_Toc8357"/>
      <w:r>
        <w:rPr>
          <w:rFonts w:hint="eastAsia"/>
          <w:lang w:val="en-US" w:eastAsia="zh-CN"/>
        </w:rPr>
        <w:t>（二）</w:t>
      </w:r>
      <w:r>
        <w:rPr>
          <w:rFonts w:hint="eastAsia"/>
        </w:rPr>
        <w:t>专业与学历（位）的对应关系</w:t>
      </w:r>
      <w:bookmarkEnd w:id="68"/>
    </w:p>
    <w:p w14:paraId="7B2F3900">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rPr>
      </w:pPr>
      <w:r>
        <w:rPr>
          <w:rFonts w:hint="eastAsia"/>
        </w:rPr>
        <w:t>岗位所需专业与报考者的毕业证书专业应当一致，岗位资格条件要求的学历</w:t>
      </w:r>
      <w:r>
        <w:rPr>
          <w:rFonts w:hint="eastAsia"/>
          <w:lang w:eastAsia="zh-CN"/>
        </w:rPr>
        <w:t>（</w:t>
      </w:r>
      <w:r>
        <w:rPr>
          <w:rFonts w:hint="eastAsia"/>
        </w:rPr>
        <w:t>位</w:t>
      </w:r>
      <w:r>
        <w:rPr>
          <w:rFonts w:hint="eastAsia"/>
          <w:lang w:eastAsia="zh-CN"/>
        </w:rPr>
        <w:t>）</w:t>
      </w:r>
      <w:r>
        <w:rPr>
          <w:rFonts w:hint="eastAsia"/>
        </w:rPr>
        <w:t>原则上须为岗位所要求的专业对应的学历</w:t>
      </w:r>
      <w:r>
        <w:rPr>
          <w:rFonts w:hint="eastAsia"/>
          <w:lang w:eastAsia="zh-CN"/>
        </w:rPr>
        <w:t>（</w:t>
      </w:r>
      <w:r>
        <w:rPr>
          <w:rFonts w:hint="eastAsia"/>
        </w:rPr>
        <w:t>位</w:t>
      </w:r>
      <w:r>
        <w:rPr>
          <w:rFonts w:hint="eastAsia"/>
          <w:lang w:eastAsia="zh-CN"/>
        </w:rPr>
        <w:t>）</w:t>
      </w:r>
      <w:r>
        <w:rPr>
          <w:rFonts w:hint="eastAsia"/>
        </w:rPr>
        <w:t>及以上学历</w:t>
      </w:r>
      <w:r>
        <w:rPr>
          <w:rFonts w:hint="eastAsia"/>
          <w:lang w:eastAsia="zh-CN"/>
        </w:rPr>
        <w:t>（</w:t>
      </w:r>
      <w:r>
        <w:rPr>
          <w:rFonts w:hint="eastAsia"/>
        </w:rPr>
        <w:t>位</w:t>
      </w:r>
      <w:r>
        <w:rPr>
          <w:rFonts w:hint="eastAsia"/>
          <w:lang w:eastAsia="zh-CN"/>
        </w:rPr>
        <w:t>）</w:t>
      </w:r>
      <w:r>
        <w:rPr>
          <w:rFonts w:hint="eastAsia"/>
        </w:rPr>
        <w:t>，但报考者如果已符合岗位资格条件中最低学历</w:t>
      </w:r>
      <w:r>
        <w:rPr>
          <w:rFonts w:hint="eastAsia"/>
          <w:lang w:eastAsia="zh-CN"/>
        </w:rPr>
        <w:t>（</w:t>
      </w:r>
      <w:r>
        <w:rPr>
          <w:rFonts w:hint="eastAsia"/>
        </w:rPr>
        <w:t>位</w:t>
      </w:r>
      <w:r>
        <w:rPr>
          <w:rFonts w:hint="eastAsia"/>
          <w:lang w:eastAsia="zh-CN"/>
        </w:rPr>
        <w:t>）</w:t>
      </w:r>
      <w:r>
        <w:rPr>
          <w:rFonts w:hint="eastAsia"/>
        </w:rPr>
        <w:t>要求而持有岗位专业要求的同级或更高级学历或学位的，也可报考。</w:t>
      </w:r>
    </w:p>
    <w:p w14:paraId="2317AA78">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rPr>
      </w:pPr>
      <w:r>
        <w:rPr>
          <w:rFonts w:hint="eastAsia"/>
        </w:rPr>
        <w:t>例如，岗位要求本科学历、学士学位、工商管理专业。</w:t>
      </w:r>
    </w:p>
    <w:p w14:paraId="6CF65F5E">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rPr>
      </w:pPr>
      <w:r>
        <w:rPr>
          <w:rFonts w:hint="eastAsia"/>
        </w:rPr>
        <w:t>考生A：取得英语专业本科学历、学士学位，后读取工商管理专业硕士学位（单证，无学历），该考生可报考该岗位。</w:t>
      </w:r>
    </w:p>
    <w:p w14:paraId="19692150">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rPr>
      </w:pPr>
      <w:r>
        <w:rPr>
          <w:rFonts w:hint="eastAsia"/>
        </w:rPr>
        <w:t>考生B：取得英语专业本科学历、学士学位，后攻读工商管理专业硕士研究生（仅取得研究生学历未获硕士学位），该考生可报考该岗位。</w:t>
      </w:r>
    </w:p>
    <w:p w14:paraId="16E68D19">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rPr>
      </w:pPr>
      <w:r>
        <w:rPr>
          <w:rFonts w:hint="eastAsia"/>
        </w:rPr>
        <w:t>考生C：取得英语专业本科学历、学士学位，辅修工商管理专业取得学士学位，该考生可报考该岗位。</w:t>
      </w:r>
    </w:p>
    <w:p w14:paraId="1D8090E3">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rPr>
      </w:pPr>
      <w:r>
        <w:rPr>
          <w:rFonts w:hint="eastAsia"/>
        </w:rPr>
        <w:t>考生D：取得英语专业本科学历、学士学位，函授工商管理专业取得本科学历，该考生可报考该岗位。</w:t>
      </w:r>
    </w:p>
    <w:p w14:paraId="1F1BE15F">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rPr>
      </w:pPr>
      <w:r>
        <w:rPr>
          <w:rFonts w:hint="eastAsia"/>
        </w:rPr>
        <w:t>考生E：取得工商管理专业大专学历，专升本取得英语专业本科学历、学士学位，该考生不能报考该岗位。</w:t>
      </w:r>
    </w:p>
    <w:p w14:paraId="1888C9E3">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rPr>
      </w:pPr>
      <w:r>
        <w:rPr>
          <w:rFonts w:hint="eastAsia"/>
        </w:rPr>
        <w:t>考生F：取得英语专业本科学历（未取得学士学位），取得工商管理专业硕士学位（无学历），该考生可报考该岗位。</w:t>
      </w:r>
    </w:p>
    <w:p w14:paraId="74F819A6">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rPr>
      </w:pPr>
      <w:r>
        <w:rPr>
          <w:rFonts w:hint="eastAsia"/>
        </w:rPr>
        <w:t>考生G：取得英语专业本科学历、学士学位，工商管理专业肄业，该考生不能报考该岗位。</w:t>
      </w:r>
    </w:p>
    <w:p w14:paraId="6D3C62A6">
      <w:pPr>
        <w:pStyle w:val="3"/>
        <w:pageBreakBefore w:val="0"/>
        <w:widowControl w:val="0"/>
        <w:kinsoku/>
        <w:wordWrap/>
        <w:overflowPunct/>
        <w:topLinePunct w:val="0"/>
        <w:autoSpaceDE/>
        <w:autoSpaceDN/>
        <w:bidi w:val="0"/>
        <w:adjustRightInd/>
        <w:snapToGrid/>
        <w:spacing w:line="440" w:lineRule="exact"/>
        <w:textAlignment w:val="auto"/>
        <w:rPr>
          <w:rFonts w:hint="eastAsia"/>
        </w:rPr>
      </w:pPr>
      <w:bookmarkStart w:id="69" w:name="_Toc2398"/>
      <w:r>
        <w:rPr>
          <w:rFonts w:hint="eastAsia"/>
          <w:lang w:val="en-US" w:eastAsia="zh-CN"/>
        </w:rPr>
        <w:t>（三）</w:t>
      </w:r>
      <w:r>
        <w:rPr>
          <w:rFonts w:hint="eastAsia"/>
        </w:rPr>
        <w:t>专业资格的认定</w:t>
      </w:r>
      <w:bookmarkEnd w:id="69"/>
    </w:p>
    <w:p w14:paraId="4057DE0C">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rPr>
      </w:pPr>
      <w:r>
        <w:rPr>
          <w:rFonts w:hint="eastAsia"/>
        </w:rPr>
        <w:t>将专业条件设置为“××类”的招聘岗位，报考者所学专业须符合《专业指导目录》中“××类”下所列专业；将专业条件设置为具体专业名称的，报考者所学专业须符合所列专业。</w:t>
      </w:r>
    </w:p>
    <w:p w14:paraId="28A79351">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rPr>
      </w:pPr>
      <w:r>
        <w:rPr>
          <w:rFonts w:hint="eastAsia"/>
        </w:rPr>
        <w:t>若报考者所学专业不在《专业指导目录》中，报考者须提供学历证、学位证、主干课程成绩表、论文发表情况</w:t>
      </w:r>
      <w:r>
        <w:rPr>
          <w:rFonts w:hint="eastAsia"/>
          <w:lang w:eastAsia="zh-CN"/>
        </w:rPr>
        <w:t>证明、</w:t>
      </w:r>
      <w:r>
        <w:rPr>
          <w:rFonts w:hint="eastAsia"/>
        </w:rPr>
        <w:t>学校证明等有效凭证，由</w:t>
      </w:r>
      <w:r>
        <w:rPr>
          <w:rFonts w:hint="eastAsia"/>
          <w:lang w:val="en-US" w:eastAsia="zh-CN"/>
        </w:rPr>
        <w:t>招聘单位</w:t>
      </w:r>
      <w:r>
        <w:rPr>
          <w:rFonts w:hint="eastAsia"/>
        </w:rPr>
        <w:t>负责认定。报考者所学专业只字不差体现在《专业指导目录》中，但未列入招聘岗位所要求的专业，不得报考该岗位。</w:t>
      </w:r>
    </w:p>
    <w:p w14:paraId="5251780A">
      <w:pPr>
        <w:pStyle w:val="2"/>
        <w:pageBreakBefore w:val="0"/>
        <w:widowControl w:val="0"/>
        <w:kinsoku/>
        <w:wordWrap/>
        <w:overflowPunct/>
        <w:topLinePunct w:val="0"/>
        <w:autoSpaceDE/>
        <w:autoSpaceDN/>
        <w:bidi w:val="0"/>
        <w:adjustRightInd/>
        <w:snapToGrid/>
        <w:spacing w:line="440" w:lineRule="exact"/>
        <w:textAlignment w:val="auto"/>
        <w:rPr>
          <w:rFonts w:hint="eastAsia"/>
          <w:lang w:val="en-US" w:eastAsia="zh-CN"/>
        </w:rPr>
      </w:pPr>
      <w:bookmarkStart w:id="70" w:name="_Toc30842"/>
      <w:r>
        <w:rPr>
          <w:rFonts w:hint="eastAsia"/>
          <w:lang w:val="en-US" w:eastAsia="zh-CN"/>
        </w:rPr>
        <w:t>七、工作经历</w:t>
      </w:r>
      <w:bookmarkEnd w:id="70"/>
    </w:p>
    <w:p w14:paraId="7A1A20A0">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rPr>
      </w:pPr>
      <w:r>
        <w:rPr>
          <w:rFonts w:hint="eastAsia"/>
        </w:rPr>
        <w:t>岗位资格条件要求的“工作经历”是指在党政机关、国有企业、社团组织</w:t>
      </w:r>
      <w:r>
        <w:rPr>
          <w:rFonts w:hint="eastAsia"/>
          <w:lang w:eastAsia="zh-CN"/>
        </w:rPr>
        <w:t>、</w:t>
      </w:r>
      <w:r>
        <w:rPr>
          <w:rFonts w:hint="eastAsia"/>
        </w:rPr>
        <w:t>各类企业和非公有制单位及农村工作的经历。自谋职业、个体经营、职业见习等灵活就业人员，也视为具有工作经历。退役士兵在军队服现役经历可视为工作经历。</w:t>
      </w:r>
    </w:p>
    <w:p w14:paraId="3E57F5D3">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rPr>
      </w:pPr>
      <w:r>
        <w:rPr>
          <w:rFonts w:hint="eastAsia"/>
        </w:rPr>
        <w:t>岗位资格条件要求的“工作经验”，应聘人员须提供</w:t>
      </w:r>
      <w:r>
        <w:rPr>
          <w:rFonts w:hint="eastAsia"/>
          <w:lang w:eastAsia="zh-CN"/>
        </w:rPr>
        <w:t>《</w:t>
      </w:r>
      <w:r>
        <w:rPr>
          <w:rFonts w:hint="eastAsia"/>
          <w:lang w:val="en-US" w:eastAsia="zh-CN"/>
        </w:rPr>
        <w:t>社会保险参保缴费情况证明（个人）》或其他由官方机构出具、具备同等官方效力的工作经历佐证材料（如退役证、个人所得税完税证明等），作为工作经验证明材料</w:t>
      </w:r>
      <w:r>
        <w:rPr>
          <w:rFonts w:hint="eastAsia"/>
        </w:rPr>
        <w:t>。全日制普通教育毕业生参加经人社部门核定的职业见习，若从事的工作与招聘岗位要求的专业工作经验相关，其毕业后的职业见习年限可视同工作经验年限。</w:t>
      </w:r>
    </w:p>
    <w:p w14:paraId="7B908E28">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rPr>
      </w:pPr>
      <w:r>
        <w:rPr>
          <w:rFonts w:hint="eastAsia"/>
        </w:rPr>
        <w:t>全日制普通教育期间的实习、社会实践经历</w:t>
      </w:r>
      <w:r>
        <w:rPr>
          <w:rFonts w:hint="eastAsia"/>
          <w:lang w:eastAsia="zh-CN"/>
        </w:rPr>
        <w:t>（</w:t>
      </w:r>
      <w:r>
        <w:rPr>
          <w:rFonts w:hint="eastAsia"/>
        </w:rPr>
        <w:t>含兼职工作等</w:t>
      </w:r>
      <w:r>
        <w:rPr>
          <w:rFonts w:hint="eastAsia"/>
          <w:lang w:eastAsia="zh-CN"/>
        </w:rPr>
        <w:t>）</w:t>
      </w:r>
      <w:r>
        <w:rPr>
          <w:rFonts w:hint="eastAsia"/>
        </w:rPr>
        <w:t>，不能视为工作</w:t>
      </w:r>
      <w:r>
        <w:rPr>
          <w:rFonts w:hint="eastAsia"/>
          <w:lang w:eastAsia="zh-CN"/>
        </w:rPr>
        <w:t>经历</w:t>
      </w:r>
      <w:r>
        <w:rPr>
          <w:rFonts w:hint="eastAsia"/>
        </w:rPr>
        <w:t>。</w:t>
      </w:r>
    </w:p>
    <w:p w14:paraId="2BF475CC">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rPr>
      </w:pPr>
      <w:r>
        <w:rPr>
          <w:rFonts w:hint="eastAsia"/>
        </w:rPr>
        <w:t>岗位资格条件要求的</w:t>
      </w:r>
      <w:r>
        <w:rPr>
          <w:rFonts w:hint="eastAsia"/>
          <w:lang w:eastAsia="zh-CN"/>
        </w:rPr>
        <w:t>工作经验年限</w:t>
      </w:r>
      <w:r>
        <w:rPr>
          <w:rFonts w:hint="eastAsia"/>
        </w:rPr>
        <w:t>可以分段按月合并计算。不同单位的工作</w:t>
      </w:r>
      <w:r>
        <w:rPr>
          <w:rFonts w:hint="eastAsia"/>
          <w:lang w:eastAsia="zh-CN"/>
        </w:rPr>
        <w:t>经历</w:t>
      </w:r>
      <w:r>
        <w:rPr>
          <w:rFonts w:hint="eastAsia"/>
        </w:rPr>
        <w:t>证明可分别开具，累计计算。</w:t>
      </w:r>
    </w:p>
    <w:p w14:paraId="650A9EEF">
      <w:pPr>
        <w:pStyle w:val="2"/>
        <w:pageBreakBefore w:val="0"/>
        <w:widowControl w:val="0"/>
        <w:kinsoku/>
        <w:wordWrap/>
        <w:overflowPunct/>
        <w:topLinePunct w:val="0"/>
        <w:autoSpaceDE/>
        <w:autoSpaceDN/>
        <w:bidi w:val="0"/>
        <w:adjustRightInd/>
        <w:snapToGrid/>
        <w:spacing w:line="440" w:lineRule="exact"/>
        <w:textAlignment w:val="auto"/>
      </w:pPr>
      <w:bookmarkStart w:id="71" w:name="_Toc31678"/>
      <w:r>
        <w:rPr>
          <w:rFonts w:hint="eastAsia"/>
          <w:lang w:val="en-US" w:eastAsia="zh-CN"/>
        </w:rPr>
        <w:t>八、</w:t>
      </w:r>
      <w:r>
        <w:rPr>
          <w:rFonts w:hint="eastAsia"/>
        </w:rPr>
        <w:t>开考比例</w:t>
      </w:r>
      <w:bookmarkEnd w:id="64"/>
      <w:bookmarkEnd w:id="65"/>
      <w:bookmarkEnd w:id="66"/>
      <w:bookmarkEnd w:id="71"/>
    </w:p>
    <w:p w14:paraId="353E7A49">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pPr>
      <w:r>
        <w:rPr>
          <w:rFonts w:hint="eastAsia"/>
        </w:rPr>
        <w:t>符合岗位资格条件的报名人数与岗位拟招聘人数的比例达不到</w:t>
      </w:r>
      <w:r>
        <w:rPr>
          <w:rFonts w:hint="eastAsia"/>
          <w:lang w:val="en-US" w:eastAsia="zh-CN"/>
        </w:rPr>
        <w:t>3</w:t>
      </w:r>
      <w:r>
        <w:rPr>
          <w:rFonts w:hint="eastAsia"/>
        </w:rPr>
        <w:t>:1的，原则上取消开考或相应减少招聘人数。取消开考、减少招聘人数、降低开考比例的岗位，由招聘单位于报名结束后，根据报名、岗位需求等情况研究决定后</w:t>
      </w:r>
      <w:r>
        <w:t>在</w:t>
      </w:r>
      <w:r>
        <w:rPr>
          <w:rFonts w:hint="eastAsia"/>
          <w:lang w:val="en-US" w:eastAsia="zh-CN"/>
        </w:rPr>
        <w:t>派驻单位公告栏</w:t>
      </w:r>
      <w:r>
        <w:t>另行公布</w:t>
      </w:r>
      <w:r>
        <w:rPr>
          <w:rFonts w:hint="eastAsia"/>
        </w:rPr>
        <w:t>。被取消开考岗位的报考考生同时失去本次考试的资格。</w:t>
      </w:r>
    </w:p>
    <w:p w14:paraId="6E1450E7">
      <w:pPr>
        <w:pStyle w:val="2"/>
        <w:pageBreakBefore w:val="0"/>
        <w:widowControl w:val="0"/>
        <w:kinsoku/>
        <w:wordWrap/>
        <w:overflowPunct/>
        <w:topLinePunct w:val="0"/>
        <w:autoSpaceDE/>
        <w:autoSpaceDN/>
        <w:bidi w:val="0"/>
        <w:adjustRightInd/>
        <w:snapToGrid/>
        <w:spacing w:line="440" w:lineRule="exact"/>
        <w:textAlignment w:val="auto"/>
      </w:pPr>
      <w:bookmarkStart w:id="72" w:name="_Toc29037"/>
      <w:bookmarkStart w:id="73" w:name="_Toc17207"/>
      <w:bookmarkStart w:id="74" w:name="_Toc23260"/>
      <w:bookmarkStart w:id="75" w:name="_Toc4597"/>
      <w:r>
        <w:rPr>
          <w:rFonts w:hint="eastAsia"/>
          <w:lang w:val="en-US" w:eastAsia="zh-CN"/>
        </w:rPr>
        <w:t>九、成绩排名</w:t>
      </w:r>
      <w:r>
        <w:rPr>
          <w:rFonts w:hint="eastAsia"/>
        </w:rPr>
        <w:t>计算</w:t>
      </w:r>
      <w:bookmarkEnd w:id="72"/>
      <w:bookmarkEnd w:id="73"/>
      <w:bookmarkEnd w:id="74"/>
      <w:bookmarkEnd w:id="75"/>
    </w:p>
    <w:p w14:paraId="64B6E008">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pPr>
      <w:r>
        <w:rPr>
          <w:rFonts w:hint="eastAsia"/>
        </w:rPr>
        <w:t>成绩合格线为60分，成绩采用四舍五入方式取小数点后2位（必要时可增加小数点位数）。对于成绩相同者，按以下顺序进一步确定名次排列：</w:t>
      </w:r>
    </w:p>
    <w:p w14:paraId="168E99A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firstLineChars="200"/>
        <w:textAlignment w:val="auto"/>
        <w:rPr>
          <w:rFonts w:hint="eastAsia"/>
        </w:rPr>
      </w:pPr>
      <w:r>
        <w:rPr>
          <w:rFonts w:hint="eastAsia" w:eastAsia="仿宋_GB2312" w:asciiTheme="minorAscii" w:hAnsiTheme="minorAscii" w:cstheme="minorBidi"/>
          <w:kern w:val="2"/>
          <w:sz w:val="28"/>
          <w:szCs w:val="22"/>
          <w:lang w:val="en-US" w:eastAsia="zh-CN" w:bidi="ar-SA"/>
        </w:rPr>
        <w:t>1.</w:t>
      </w:r>
      <w:r>
        <w:rPr>
          <w:rFonts w:hint="eastAsia"/>
        </w:rPr>
        <w:t>符合国家、我省或我市文件规定优先对象的，优先进入体检环节。</w:t>
      </w:r>
    </w:p>
    <w:p w14:paraId="1FBBF33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firstLineChars="200"/>
        <w:textAlignment w:val="auto"/>
      </w:pPr>
      <w:r>
        <w:rPr>
          <w:rFonts w:eastAsia="仿宋_GB2312" w:asciiTheme="minorAscii" w:hAnsiTheme="minorAscii" w:cstheme="minorBidi"/>
          <w:kern w:val="2"/>
          <w:sz w:val="28"/>
          <w:szCs w:val="22"/>
          <w:lang w:val="en-US" w:eastAsia="zh-CN" w:bidi="ar-SA"/>
        </w:rPr>
        <w:t>2.</w:t>
      </w:r>
      <w:r>
        <w:rPr>
          <w:rFonts w:hint="eastAsia"/>
        </w:rPr>
        <w:t>若无优先对象，可</w:t>
      </w:r>
      <w:r>
        <w:rPr>
          <w:rFonts w:hint="eastAsia"/>
          <w:lang w:eastAsia="zh-CN"/>
        </w:rPr>
        <w:t>在</w:t>
      </w:r>
      <w:r>
        <w:rPr>
          <w:rFonts w:hint="eastAsia"/>
        </w:rPr>
        <w:t>考生协商一致的情况下签名同意自行采取简易方式确定最终进入体检环节人选，或由面试组织部门组织他们重新进行面试，取重新面试成绩较高者进入体检环节。</w:t>
      </w:r>
    </w:p>
    <w:p w14:paraId="46255F95">
      <w:pPr>
        <w:pStyle w:val="2"/>
        <w:pageBreakBefore w:val="0"/>
        <w:widowControl w:val="0"/>
        <w:kinsoku/>
        <w:wordWrap/>
        <w:overflowPunct/>
        <w:topLinePunct w:val="0"/>
        <w:autoSpaceDE/>
        <w:autoSpaceDN/>
        <w:bidi w:val="0"/>
        <w:adjustRightInd/>
        <w:snapToGrid/>
        <w:spacing w:line="440" w:lineRule="exact"/>
        <w:textAlignment w:val="auto"/>
      </w:pPr>
      <w:bookmarkStart w:id="76" w:name="_Toc22870"/>
      <w:bookmarkStart w:id="77" w:name="_Toc21391"/>
      <w:bookmarkStart w:id="78" w:name="_Toc1434"/>
      <w:bookmarkStart w:id="79" w:name="_Toc12976"/>
      <w:r>
        <w:rPr>
          <w:rFonts w:hint="eastAsia"/>
          <w:lang w:val="en-US" w:eastAsia="zh-CN"/>
        </w:rPr>
        <w:t>十、</w:t>
      </w:r>
      <w:r>
        <w:rPr>
          <w:rFonts w:hint="eastAsia"/>
        </w:rPr>
        <w:t>体检和考察</w:t>
      </w:r>
      <w:bookmarkEnd w:id="76"/>
      <w:bookmarkEnd w:id="77"/>
      <w:bookmarkEnd w:id="78"/>
      <w:bookmarkEnd w:id="79"/>
    </w:p>
    <w:p w14:paraId="4B16C6BF">
      <w:pPr>
        <w:pStyle w:val="3"/>
        <w:pageBreakBefore w:val="0"/>
        <w:widowControl w:val="0"/>
        <w:kinsoku/>
        <w:wordWrap/>
        <w:overflowPunct/>
        <w:topLinePunct w:val="0"/>
        <w:autoSpaceDE/>
        <w:autoSpaceDN/>
        <w:bidi w:val="0"/>
        <w:adjustRightInd/>
        <w:snapToGrid/>
        <w:spacing w:line="440" w:lineRule="exact"/>
        <w:textAlignment w:val="auto"/>
      </w:pPr>
      <w:bookmarkStart w:id="80" w:name="_Toc30838"/>
      <w:bookmarkStart w:id="81" w:name="_Toc5905"/>
      <w:bookmarkStart w:id="82" w:name="_Toc30296"/>
      <w:bookmarkStart w:id="83" w:name="_Toc31705"/>
      <w:r>
        <w:rPr>
          <w:rFonts w:hint="eastAsia"/>
        </w:rPr>
        <w:t>（一）确定体检和考察人选</w:t>
      </w:r>
      <w:bookmarkEnd w:id="80"/>
      <w:bookmarkEnd w:id="81"/>
      <w:bookmarkEnd w:id="82"/>
      <w:bookmarkEnd w:id="83"/>
    </w:p>
    <w:p w14:paraId="20BEE69B">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pPr>
      <w:r>
        <w:rPr>
          <w:rFonts w:hint="eastAsia"/>
        </w:rPr>
        <w:t>从成绩均合格者中，</w:t>
      </w:r>
      <w:r>
        <w:rPr>
          <w:rFonts w:hint="eastAsia"/>
          <w:lang w:val="en-US" w:eastAsia="zh-CN"/>
        </w:rPr>
        <w:t>根据</w:t>
      </w:r>
      <w:r>
        <w:rPr>
          <w:rFonts w:hint="eastAsia"/>
        </w:rPr>
        <w:t>成绩排名顺序，按岗位拟招聘人数1:1的比例从高分至低分确定体检人选。</w:t>
      </w:r>
    </w:p>
    <w:p w14:paraId="2B47056B">
      <w:pPr>
        <w:pStyle w:val="3"/>
        <w:pageBreakBefore w:val="0"/>
        <w:widowControl w:val="0"/>
        <w:kinsoku/>
        <w:wordWrap/>
        <w:overflowPunct/>
        <w:topLinePunct w:val="0"/>
        <w:autoSpaceDE/>
        <w:autoSpaceDN/>
        <w:bidi w:val="0"/>
        <w:adjustRightInd/>
        <w:snapToGrid/>
        <w:spacing w:line="440" w:lineRule="exact"/>
        <w:textAlignment w:val="auto"/>
      </w:pPr>
      <w:bookmarkStart w:id="84" w:name="_Toc28632"/>
      <w:bookmarkStart w:id="85" w:name="_Toc7272"/>
      <w:bookmarkStart w:id="86" w:name="_Toc24033"/>
      <w:bookmarkStart w:id="87" w:name="_Toc11341"/>
      <w:r>
        <w:rPr>
          <w:rFonts w:hint="eastAsia"/>
        </w:rPr>
        <w:t>（二）组织体检和考察</w:t>
      </w:r>
      <w:bookmarkEnd w:id="84"/>
      <w:bookmarkEnd w:id="85"/>
      <w:bookmarkEnd w:id="86"/>
      <w:bookmarkEnd w:id="87"/>
    </w:p>
    <w:p w14:paraId="007FE271">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pPr>
      <w:r>
        <w:rPr>
          <w:rFonts w:hint="eastAsia"/>
        </w:rPr>
        <w:t>体检由招聘单位负责组织实施。体检人员应根据通知按时参加并配合体检，否则，视为放弃资格。</w:t>
      </w:r>
    </w:p>
    <w:p w14:paraId="7A6C74CC">
      <w:pPr>
        <w:pStyle w:val="3"/>
        <w:pageBreakBefore w:val="0"/>
        <w:widowControl w:val="0"/>
        <w:kinsoku/>
        <w:wordWrap/>
        <w:overflowPunct/>
        <w:topLinePunct w:val="0"/>
        <w:autoSpaceDE/>
        <w:autoSpaceDN/>
        <w:bidi w:val="0"/>
        <w:adjustRightInd/>
        <w:snapToGrid/>
        <w:spacing w:line="440" w:lineRule="exact"/>
        <w:textAlignment w:val="auto"/>
      </w:pPr>
      <w:bookmarkStart w:id="88" w:name="_Toc14541"/>
      <w:bookmarkStart w:id="89" w:name="_Toc12534"/>
      <w:bookmarkStart w:id="90" w:name="_Toc28717"/>
      <w:bookmarkStart w:id="91" w:name="_Toc23278"/>
      <w:r>
        <w:rPr>
          <w:rFonts w:hint="eastAsia"/>
        </w:rPr>
        <w:t>（三）体检依据</w:t>
      </w:r>
      <w:bookmarkEnd w:id="88"/>
      <w:bookmarkEnd w:id="89"/>
      <w:bookmarkEnd w:id="90"/>
      <w:bookmarkEnd w:id="91"/>
    </w:p>
    <w:p w14:paraId="33D0A8DB">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pPr>
      <w:r>
        <w:rPr>
          <w:rFonts w:hint="eastAsia"/>
        </w:rPr>
        <w:t>本次招聘体检参照《公务员录用体检通用标准（试行）》和《公务员录用体检操作手册（试行）》和《关于修订〈公务员录用体检通用标准（试行）〉及〈公务员录用体检操作手册（试行）〉的通知》（人社部发〔2016〕140号）等文件的要求</w:t>
      </w:r>
      <w:r>
        <w:rPr>
          <w:rFonts w:hint="eastAsia"/>
          <w:lang w:eastAsia="zh-CN"/>
        </w:rPr>
        <w:t>，</w:t>
      </w:r>
      <w:r>
        <w:rPr>
          <w:rFonts w:hint="eastAsia"/>
        </w:rPr>
        <w:t>具体检测方法由体检医院结合实际确定。特殊行业或岗位有相应体检标准可另行要求。</w:t>
      </w:r>
    </w:p>
    <w:p w14:paraId="331D9B64">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pPr>
      <w:r>
        <w:rPr>
          <w:rFonts w:hint="eastAsia"/>
        </w:rPr>
        <w:t>体（复）检费用个人自理。</w:t>
      </w:r>
    </w:p>
    <w:p w14:paraId="0F7079E6">
      <w:pPr>
        <w:pStyle w:val="3"/>
        <w:pageBreakBefore w:val="0"/>
        <w:widowControl w:val="0"/>
        <w:kinsoku/>
        <w:wordWrap/>
        <w:overflowPunct/>
        <w:topLinePunct w:val="0"/>
        <w:autoSpaceDE/>
        <w:autoSpaceDN/>
        <w:bidi w:val="0"/>
        <w:adjustRightInd/>
        <w:snapToGrid/>
        <w:spacing w:line="440" w:lineRule="exact"/>
        <w:textAlignment w:val="auto"/>
      </w:pPr>
      <w:bookmarkStart w:id="92" w:name="_Toc124"/>
      <w:bookmarkStart w:id="93" w:name="_Toc27783"/>
      <w:bookmarkStart w:id="94" w:name="_Toc30491"/>
      <w:bookmarkStart w:id="95" w:name="_Toc3395"/>
      <w:r>
        <w:rPr>
          <w:rFonts w:hint="eastAsia"/>
        </w:rPr>
        <w:t>（四）体检复检</w:t>
      </w:r>
      <w:bookmarkEnd w:id="92"/>
      <w:bookmarkEnd w:id="93"/>
      <w:bookmarkEnd w:id="94"/>
      <w:bookmarkEnd w:id="95"/>
    </w:p>
    <w:p w14:paraId="440D1F57">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pPr>
      <w:r>
        <w:rPr>
          <w:rFonts w:hint="eastAsia"/>
        </w:rPr>
        <w:t>复检参照人力资源社会保障部、卫生部、国家</w:t>
      </w:r>
      <w:r>
        <w:rPr>
          <w:rFonts w:hint="eastAsia"/>
          <w:lang w:val="en-US" w:eastAsia="zh-CN"/>
        </w:rPr>
        <w:t>公务员局《</w:t>
      </w:r>
      <w:r>
        <w:rPr>
          <w:rFonts w:hint="eastAsia"/>
        </w:rPr>
        <w:t>关于进一步做好公务员考试录用体检工作的通知》</w:t>
      </w:r>
      <w:r>
        <w:rPr>
          <w:rFonts w:hint="eastAsia"/>
          <w:lang w:eastAsia="zh-CN"/>
        </w:rPr>
        <w:t>（</w:t>
      </w:r>
      <w:r>
        <w:rPr>
          <w:rFonts w:hint="eastAsia"/>
        </w:rPr>
        <w:t>人社部发〔2012〕65号</w:t>
      </w:r>
      <w:r>
        <w:rPr>
          <w:rFonts w:hint="eastAsia"/>
          <w:lang w:eastAsia="zh-CN"/>
        </w:rPr>
        <w:t>）</w:t>
      </w:r>
      <w:r>
        <w:rPr>
          <w:rFonts w:hint="eastAsia"/>
        </w:rPr>
        <w:t>的有关规定执行，其中：</w:t>
      </w:r>
    </w:p>
    <w:p w14:paraId="76753DCE">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pPr>
      <w:r>
        <w:rPr>
          <w:rFonts w:hint="eastAsia"/>
        </w:rPr>
        <w:t>1. 对心率、视力、听力、血压等项目达不到体检合格标准的，安排当日复检；对边缘性心脏杂音、病理性心电图、病理性杂音、频发早搏（心电图证实）等项目达不到体检合格标准的，安排当场复检。</w:t>
      </w:r>
    </w:p>
    <w:p w14:paraId="7BCE82D2">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pPr>
      <w:r>
        <w:rPr>
          <w:rFonts w:hint="eastAsia"/>
        </w:rPr>
        <w:t>2.考生对非当日或非当场复检的体检项目结果有疑问时，可以在接到体检结论的7日内，向组织体检单位提交复检申请。组织体检的单位另行指定医院复检。复检时不得告知复检项目。复检只能进行1次，体检结论以复检的结果为准。自行体检的结果无效。</w:t>
      </w:r>
    </w:p>
    <w:p w14:paraId="05FC843E">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pPr>
      <w:r>
        <w:rPr>
          <w:rFonts w:hint="eastAsia"/>
        </w:rPr>
        <w:t>3.组织体检单位对体检结论有疑问的，在接到体检结论通知之日起7日内决定是否进行复检。</w:t>
      </w:r>
    </w:p>
    <w:p w14:paraId="7CD15ECD">
      <w:pPr>
        <w:pStyle w:val="3"/>
        <w:pageBreakBefore w:val="0"/>
        <w:widowControl w:val="0"/>
        <w:kinsoku/>
        <w:wordWrap/>
        <w:overflowPunct/>
        <w:topLinePunct w:val="0"/>
        <w:autoSpaceDE/>
        <w:autoSpaceDN/>
        <w:bidi w:val="0"/>
        <w:adjustRightInd/>
        <w:snapToGrid/>
        <w:spacing w:line="440" w:lineRule="exact"/>
        <w:textAlignment w:val="auto"/>
      </w:pPr>
      <w:bookmarkStart w:id="96" w:name="_Toc9642"/>
      <w:bookmarkStart w:id="97" w:name="_Toc28173"/>
      <w:bookmarkStart w:id="98" w:name="_Toc19514"/>
      <w:bookmarkStart w:id="99" w:name="_Toc3038"/>
      <w:r>
        <w:rPr>
          <w:rFonts w:hint="eastAsia"/>
        </w:rPr>
        <w:t>（五）可延迟体检的情形</w:t>
      </w:r>
      <w:bookmarkEnd w:id="96"/>
      <w:bookmarkEnd w:id="97"/>
      <w:bookmarkEnd w:id="98"/>
      <w:bookmarkEnd w:id="99"/>
    </w:p>
    <w:p w14:paraId="5F351B92">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pPr>
      <w:r>
        <w:rPr>
          <w:rFonts w:hint="eastAsia"/>
        </w:rPr>
        <w:t>女性报考者因怀孕、哺乳期需申请延期体检的，应提供相应的医学证明并与组织体检单位约定延缓体检的合理期限。</w:t>
      </w:r>
    </w:p>
    <w:p w14:paraId="49714564">
      <w:pPr>
        <w:pStyle w:val="3"/>
        <w:pageBreakBefore w:val="0"/>
        <w:widowControl w:val="0"/>
        <w:kinsoku/>
        <w:wordWrap/>
        <w:overflowPunct/>
        <w:topLinePunct w:val="0"/>
        <w:autoSpaceDE/>
        <w:autoSpaceDN/>
        <w:bidi w:val="0"/>
        <w:adjustRightInd/>
        <w:snapToGrid/>
        <w:spacing w:line="440" w:lineRule="exact"/>
        <w:textAlignment w:val="auto"/>
      </w:pPr>
      <w:bookmarkStart w:id="100" w:name="_Toc2155"/>
      <w:bookmarkStart w:id="101" w:name="_Toc22339"/>
      <w:bookmarkStart w:id="102" w:name="_Toc3325"/>
      <w:bookmarkStart w:id="103" w:name="_Toc6516"/>
      <w:r>
        <w:rPr>
          <w:rFonts w:hint="eastAsia"/>
        </w:rPr>
        <w:t>（六）考察</w:t>
      </w:r>
      <w:bookmarkEnd w:id="100"/>
      <w:bookmarkEnd w:id="101"/>
      <w:bookmarkEnd w:id="102"/>
      <w:bookmarkEnd w:id="103"/>
    </w:p>
    <w:p w14:paraId="7D7DFF21">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pPr>
      <w:r>
        <w:rPr>
          <w:rFonts w:hint="eastAsia"/>
        </w:rPr>
        <w:t xml:space="preserve">对体检合格的报考人员，由招聘单位组织对其政治思想、道德品质、廉洁自律、能力素质、工作态度、学习及工作表现以及是否需要回避等内容进行考察，并对报考人员资格条件再次进行审核。 </w:t>
      </w:r>
    </w:p>
    <w:p w14:paraId="751072D9">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pPr>
      <w:r>
        <w:rPr>
          <w:rFonts w:hint="eastAsia"/>
        </w:rPr>
        <w:t>考察工作前，通过中国执行信息公开网（http://zxgk.court.gov.cn</w:t>
      </w:r>
      <w:r>
        <w:rPr>
          <w:rFonts w:hint="eastAsia"/>
          <w:lang w:eastAsia="zh-CN"/>
        </w:rPr>
        <w:t>）</w:t>
      </w:r>
      <w:r>
        <w:rPr>
          <w:rFonts w:hint="eastAsia"/>
        </w:rPr>
        <w:t>核实考察对象有无失信被执行的情况。发现考察对象被列为失信被执行人的，应查看对应案号并联系执行法院，函询、核实被执行人履行义务的进展情况。被执行人已履行义务的，应在招聘单位约定的期限内提供执行法院的书面证明，方可进行考察；尚未履行义务的，取消其录用考察资格。报考者在试用期被列为失信被执行人的，取消其录用资格。</w:t>
      </w:r>
    </w:p>
    <w:p w14:paraId="319EA9F7">
      <w:pPr>
        <w:pStyle w:val="2"/>
        <w:pageBreakBefore w:val="0"/>
        <w:widowControl w:val="0"/>
        <w:kinsoku/>
        <w:wordWrap/>
        <w:overflowPunct/>
        <w:topLinePunct w:val="0"/>
        <w:autoSpaceDE/>
        <w:autoSpaceDN/>
        <w:bidi w:val="0"/>
        <w:adjustRightInd/>
        <w:snapToGrid/>
        <w:spacing w:line="440" w:lineRule="exact"/>
        <w:textAlignment w:val="auto"/>
      </w:pPr>
      <w:bookmarkStart w:id="104" w:name="_Toc28661"/>
      <w:bookmarkStart w:id="105" w:name="_Toc30818"/>
      <w:bookmarkStart w:id="106" w:name="_Toc7724"/>
      <w:bookmarkStart w:id="107" w:name="_Toc18277"/>
      <w:r>
        <w:rPr>
          <w:rFonts w:hint="eastAsia"/>
          <w:lang w:val="en-US" w:eastAsia="zh-CN"/>
        </w:rPr>
        <w:t>十一、</w:t>
      </w:r>
      <w:r>
        <w:rPr>
          <w:rFonts w:hint="eastAsia"/>
        </w:rPr>
        <w:t>拟录用公示</w:t>
      </w:r>
      <w:bookmarkEnd w:id="104"/>
      <w:bookmarkEnd w:id="105"/>
      <w:bookmarkEnd w:id="106"/>
      <w:bookmarkEnd w:id="107"/>
    </w:p>
    <w:p w14:paraId="6704CDC0">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pPr>
      <w:r>
        <w:rPr>
          <w:rFonts w:hint="eastAsia"/>
        </w:rPr>
        <w:t>根据岗位要求以及考试、体检、考察结果，确定拟录用人员名单，</w:t>
      </w:r>
      <w:r>
        <w:rPr>
          <w:rFonts w:hint="eastAsia"/>
          <w:lang w:val="en-US" w:eastAsia="zh-CN"/>
        </w:rPr>
        <w:t>公</w:t>
      </w:r>
      <w:r>
        <w:rPr>
          <w:rFonts w:hint="eastAsia"/>
        </w:rPr>
        <w:t>示7日。公示内容包括招聘单位名称、招聘岗位、拟录用人员基本信息等。</w:t>
      </w:r>
    </w:p>
    <w:p w14:paraId="2639EEB7">
      <w:pPr>
        <w:pStyle w:val="2"/>
        <w:pageBreakBefore w:val="0"/>
        <w:widowControl w:val="0"/>
        <w:kinsoku/>
        <w:wordWrap/>
        <w:overflowPunct/>
        <w:topLinePunct w:val="0"/>
        <w:autoSpaceDE/>
        <w:autoSpaceDN/>
        <w:bidi w:val="0"/>
        <w:adjustRightInd/>
        <w:snapToGrid/>
        <w:spacing w:line="440" w:lineRule="exact"/>
        <w:textAlignment w:val="auto"/>
      </w:pPr>
      <w:bookmarkStart w:id="108" w:name="_Toc10588"/>
      <w:bookmarkStart w:id="109" w:name="_Toc17059"/>
      <w:bookmarkStart w:id="110" w:name="_Toc28474"/>
      <w:r>
        <w:rPr>
          <w:rFonts w:hint="eastAsia"/>
          <w:lang w:val="en-US" w:eastAsia="zh-CN"/>
        </w:rPr>
        <w:t>十二、</w:t>
      </w:r>
      <w:r>
        <w:rPr>
          <w:rFonts w:hint="eastAsia"/>
        </w:rPr>
        <w:t>录用</w:t>
      </w:r>
      <w:bookmarkEnd w:id="108"/>
      <w:bookmarkEnd w:id="109"/>
      <w:bookmarkEnd w:id="110"/>
    </w:p>
    <w:p w14:paraId="0A2D7595">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pPr>
      <w:r>
        <w:rPr>
          <w:rFonts w:hint="eastAsia"/>
        </w:rPr>
        <w:t>公示结果无异议，或经招聘单位核实不影响录用的，拟</w:t>
      </w:r>
      <w:r>
        <w:rPr>
          <w:rFonts w:hint="eastAsia"/>
          <w:lang w:eastAsia="zh-CN"/>
        </w:rPr>
        <w:t>录用</w:t>
      </w:r>
      <w:r>
        <w:rPr>
          <w:rFonts w:hint="eastAsia"/>
        </w:rPr>
        <w:t>人员应于公示期满后3个月内提供办理录用手续所需的材料（含个人人事档案），因情况确实特殊、无法在上述期限内提供完备资料的，与招聘单位协商同意并书面承诺后可适当延长材料提交时限（延长时限原则上不超过2个月），否则视为放弃录用资格。</w:t>
      </w:r>
    </w:p>
    <w:sectPr>
      <w:footerReference r:id="rId3" w:type="default"/>
      <w:pgSz w:w="11906" w:h="16838"/>
      <w:pgMar w:top="1440" w:right="1689" w:bottom="1440" w:left="1689" w:header="851" w:footer="992" w:gutter="0"/>
      <w:pgNumType w:fmt="decimal" w:start="1"/>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66497A2-81D8-46A6-AC1E-406FA022D8B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34CDAC3F-B955-46FE-ABE3-CC8B91309904}"/>
  </w:font>
  <w:font w:name="仿宋_GB2312">
    <w:panose1 w:val="02010609030101010101"/>
    <w:charset w:val="86"/>
    <w:family w:val="auto"/>
    <w:pitch w:val="default"/>
    <w:sig w:usb0="00000001" w:usb1="080E0000" w:usb2="00000000" w:usb3="00000000" w:csb0="00040000" w:csb1="00000000"/>
    <w:embedRegular r:id="rId3" w:fontKey="{7DCD348D-58F5-4834-9B14-C3EBCB7B01ED}"/>
  </w:font>
  <w:font w:name="楷体_GB2312">
    <w:panose1 w:val="02010609030101010101"/>
    <w:charset w:val="86"/>
    <w:family w:val="auto"/>
    <w:pitch w:val="default"/>
    <w:sig w:usb0="00000001" w:usb1="080E0000" w:usb2="00000000" w:usb3="00000000" w:csb0="00040000" w:csb1="00000000"/>
    <w:embedRegular r:id="rId4" w:fontKey="{9D3351D3-3A9B-4C1C-9096-F7E5A973BD65}"/>
  </w:font>
  <w:font w:name="方正小标宋简体">
    <w:panose1 w:val="02000000000000000000"/>
    <w:charset w:val="86"/>
    <w:family w:val="auto"/>
    <w:pitch w:val="default"/>
    <w:sig w:usb0="00000001" w:usb1="080E0000" w:usb2="00000000" w:usb3="00000000" w:csb0="00040000" w:csb1="00000000"/>
    <w:embedRegular r:id="rId5" w:fontKey="{6E0DBE95-9FCE-432E-AEC6-18506AAD3CC3}"/>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2C3484">
    <w:pPr>
      <w:pStyle w:val="1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ECBFA3">
                          <w:pPr>
                            <w:pStyle w:val="10"/>
                            <w:jc w:val="center"/>
                          </w:pPr>
                          <w:r>
                            <w:fldChar w:fldCharType="begin"/>
                          </w:r>
                          <w:r>
                            <w:instrText xml:space="preserve"> PAGE   \* MERGEFORMAT </w:instrText>
                          </w:r>
                          <w:r>
                            <w:fldChar w:fldCharType="separate"/>
                          </w:r>
                          <w:r>
                            <w:rPr>
                              <w:lang w:val="zh-CN"/>
                            </w:rPr>
                            <w:t>4</w:t>
                          </w:r>
                          <w:r>
                            <w:rPr>
                              <w:lang w:val="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8ECBFA3">
                    <w:pPr>
                      <w:pStyle w:val="10"/>
                      <w:jc w:val="center"/>
                    </w:pPr>
                    <w:r>
                      <w:fldChar w:fldCharType="begin"/>
                    </w:r>
                    <w:r>
                      <w:instrText xml:space="preserve"> PAGE   \* MERGEFORMAT </w:instrText>
                    </w:r>
                    <w:r>
                      <w:fldChar w:fldCharType="separate"/>
                    </w:r>
                    <w:r>
                      <w:rPr>
                        <w:lang w:val="zh-CN"/>
                      </w:rPr>
                      <w:t>4</w:t>
                    </w:r>
                    <w:r>
                      <w:rPr>
                        <w:lang w:val="zh-CN"/>
                      </w:rPr>
                      <w:fldChar w:fldCharType="end"/>
                    </w:r>
                  </w:p>
                </w:txbxContent>
              </v:textbox>
            </v:shape>
          </w:pict>
        </mc:Fallback>
      </mc:AlternateContent>
    </w:r>
  </w:p>
  <w:p w14:paraId="1031ADC3">
    <w:pPr>
      <w:pStyle w:val="1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5FDBF2A"/>
    <w:multiLevelType w:val="singleLevel"/>
    <w:tmpl w:val="35FDBF2A"/>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21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E0ZGVmODNlYzA2ZmJlNmQ0YmZjODQ3YWFiYmQ3ODAifQ=="/>
  </w:docVars>
  <w:rsids>
    <w:rsidRoot w:val="00CA3A16"/>
    <w:rsid w:val="00003543"/>
    <w:rsid w:val="00030ECF"/>
    <w:rsid w:val="0004264F"/>
    <w:rsid w:val="0007382C"/>
    <w:rsid w:val="00074BF4"/>
    <w:rsid w:val="000F4D81"/>
    <w:rsid w:val="00110049"/>
    <w:rsid w:val="00137BC5"/>
    <w:rsid w:val="0014786A"/>
    <w:rsid w:val="00162510"/>
    <w:rsid w:val="001720DC"/>
    <w:rsid w:val="0017732C"/>
    <w:rsid w:val="001942DA"/>
    <w:rsid w:val="00233613"/>
    <w:rsid w:val="00283FFF"/>
    <w:rsid w:val="002C3542"/>
    <w:rsid w:val="002D6ED7"/>
    <w:rsid w:val="003030B0"/>
    <w:rsid w:val="0035464F"/>
    <w:rsid w:val="0036131B"/>
    <w:rsid w:val="00383B61"/>
    <w:rsid w:val="0039564C"/>
    <w:rsid w:val="003C580B"/>
    <w:rsid w:val="003F2091"/>
    <w:rsid w:val="00402F6F"/>
    <w:rsid w:val="00411936"/>
    <w:rsid w:val="00411FF1"/>
    <w:rsid w:val="00413DE3"/>
    <w:rsid w:val="004222E7"/>
    <w:rsid w:val="00445840"/>
    <w:rsid w:val="00467CE9"/>
    <w:rsid w:val="004A44AD"/>
    <w:rsid w:val="004B70E7"/>
    <w:rsid w:val="004C5541"/>
    <w:rsid w:val="0053458D"/>
    <w:rsid w:val="00561A6B"/>
    <w:rsid w:val="00581CE3"/>
    <w:rsid w:val="00583285"/>
    <w:rsid w:val="00590A8B"/>
    <w:rsid w:val="005C7346"/>
    <w:rsid w:val="005D6C68"/>
    <w:rsid w:val="0068774F"/>
    <w:rsid w:val="006C4015"/>
    <w:rsid w:val="006E733C"/>
    <w:rsid w:val="00712334"/>
    <w:rsid w:val="00716B52"/>
    <w:rsid w:val="00764782"/>
    <w:rsid w:val="0077002C"/>
    <w:rsid w:val="007A63C6"/>
    <w:rsid w:val="007C46DB"/>
    <w:rsid w:val="00867B7C"/>
    <w:rsid w:val="008F4E64"/>
    <w:rsid w:val="00927383"/>
    <w:rsid w:val="00952B25"/>
    <w:rsid w:val="00962764"/>
    <w:rsid w:val="00972931"/>
    <w:rsid w:val="00980A85"/>
    <w:rsid w:val="00990910"/>
    <w:rsid w:val="009F0BC1"/>
    <w:rsid w:val="00A62CFA"/>
    <w:rsid w:val="00A70D54"/>
    <w:rsid w:val="00AA508C"/>
    <w:rsid w:val="00AA77D0"/>
    <w:rsid w:val="00AE097D"/>
    <w:rsid w:val="00B06CCE"/>
    <w:rsid w:val="00B2552E"/>
    <w:rsid w:val="00B57EC0"/>
    <w:rsid w:val="00B942D6"/>
    <w:rsid w:val="00B949F5"/>
    <w:rsid w:val="00BB1533"/>
    <w:rsid w:val="00BC6CDB"/>
    <w:rsid w:val="00C43898"/>
    <w:rsid w:val="00C51C1C"/>
    <w:rsid w:val="00CA3A16"/>
    <w:rsid w:val="00D3569E"/>
    <w:rsid w:val="00D360A7"/>
    <w:rsid w:val="00DB54FB"/>
    <w:rsid w:val="00DD18AB"/>
    <w:rsid w:val="00DD761E"/>
    <w:rsid w:val="00E24CA1"/>
    <w:rsid w:val="00E501FF"/>
    <w:rsid w:val="00EC0971"/>
    <w:rsid w:val="00F95A4E"/>
    <w:rsid w:val="00FC0A29"/>
    <w:rsid w:val="012E4057"/>
    <w:rsid w:val="01706B3D"/>
    <w:rsid w:val="01B12C91"/>
    <w:rsid w:val="01C75AB0"/>
    <w:rsid w:val="02395429"/>
    <w:rsid w:val="029C19EF"/>
    <w:rsid w:val="029F0F02"/>
    <w:rsid w:val="02AF79A2"/>
    <w:rsid w:val="02B963D8"/>
    <w:rsid w:val="030C2E78"/>
    <w:rsid w:val="03195891"/>
    <w:rsid w:val="0431644B"/>
    <w:rsid w:val="060D0DBE"/>
    <w:rsid w:val="063C65E5"/>
    <w:rsid w:val="06B534C8"/>
    <w:rsid w:val="07422A0E"/>
    <w:rsid w:val="0A2926EC"/>
    <w:rsid w:val="0A6E3771"/>
    <w:rsid w:val="0ABE0466"/>
    <w:rsid w:val="0C42075F"/>
    <w:rsid w:val="0C62192F"/>
    <w:rsid w:val="0C9537CF"/>
    <w:rsid w:val="0C97688E"/>
    <w:rsid w:val="0CFA7F8B"/>
    <w:rsid w:val="0EEC0086"/>
    <w:rsid w:val="0EFC1000"/>
    <w:rsid w:val="0F205BD3"/>
    <w:rsid w:val="0F841BAC"/>
    <w:rsid w:val="10D14AA9"/>
    <w:rsid w:val="10E06A90"/>
    <w:rsid w:val="113B14BC"/>
    <w:rsid w:val="11D50F5D"/>
    <w:rsid w:val="127C59E8"/>
    <w:rsid w:val="12B17B3E"/>
    <w:rsid w:val="131F34BF"/>
    <w:rsid w:val="136A730B"/>
    <w:rsid w:val="137A7CA3"/>
    <w:rsid w:val="15266970"/>
    <w:rsid w:val="15714F96"/>
    <w:rsid w:val="15A8668A"/>
    <w:rsid w:val="15D95F9E"/>
    <w:rsid w:val="17B1427E"/>
    <w:rsid w:val="18057602"/>
    <w:rsid w:val="183F48C2"/>
    <w:rsid w:val="18DC4FBF"/>
    <w:rsid w:val="194E5671"/>
    <w:rsid w:val="196D50C1"/>
    <w:rsid w:val="19A27AB8"/>
    <w:rsid w:val="1AC018F6"/>
    <w:rsid w:val="1B8F7143"/>
    <w:rsid w:val="1E381C14"/>
    <w:rsid w:val="1E3A5D38"/>
    <w:rsid w:val="1FAD1DE7"/>
    <w:rsid w:val="20D11DC7"/>
    <w:rsid w:val="2107136B"/>
    <w:rsid w:val="212E6965"/>
    <w:rsid w:val="21A46E8A"/>
    <w:rsid w:val="21CD6AB5"/>
    <w:rsid w:val="21E55617"/>
    <w:rsid w:val="21F41D88"/>
    <w:rsid w:val="23DA0315"/>
    <w:rsid w:val="24195B2C"/>
    <w:rsid w:val="242714D3"/>
    <w:rsid w:val="248B675C"/>
    <w:rsid w:val="248C709C"/>
    <w:rsid w:val="248C70E1"/>
    <w:rsid w:val="25454C78"/>
    <w:rsid w:val="25B64A56"/>
    <w:rsid w:val="265E5634"/>
    <w:rsid w:val="265F470D"/>
    <w:rsid w:val="26A01F5B"/>
    <w:rsid w:val="27434329"/>
    <w:rsid w:val="279024A5"/>
    <w:rsid w:val="28654F9C"/>
    <w:rsid w:val="29DC3048"/>
    <w:rsid w:val="2AB93EDB"/>
    <w:rsid w:val="2AD704AB"/>
    <w:rsid w:val="2C0B2FE1"/>
    <w:rsid w:val="2D0A1C91"/>
    <w:rsid w:val="2D146264"/>
    <w:rsid w:val="2D1620D0"/>
    <w:rsid w:val="2D3D3232"/>
    <w:rsid w:val="2E10141D"/>
    <w:rsid w:val="2ED55ABF"/>
    <w:rsid w:val="2F2D2246"/>
    <w:rsid w:val="2F3445FD"/>
    <w:rsid w:val="2F625217"/>
    <w:rsid w:val="2FF31FA0"/>
    <w:rsid w:val="32FB0AD9"/>
    <w:rsid w:val="330D7063"/>
    <w:rsid w:val="331D1B45"/>
    <w:rsid w:val="34054802"/>
    <w:rsid w:val="34171B12"/>
    <w:rsid w:val="344B248F"/>
    <w:rsid w:val="34586D40"/>
    <w:rsid w:val="36254EF0"/>
    <w:rsid w:val="36433543"/>
    <w:rsid w:val="37EB3EC6"/>
    <w:rsid w:val="388D4A00"/>
    <w:rsid w:val="38A17E31"/>
    <w:rsid w:val="38D52FBD"/>
    <w:rsid w:val="3C5E7563"/>
    <w:rsid w:val="3CAA7142"/>
    <w:rsid w:val="3D3C6670"/>
    <w:rsid w:val="3D5926B2"/>
    <w:rsid w:val="3DF0470A"/>
    <w:rsid w:val="3FE85DB4"/>
    <w:rsid w:val="431A4FDF"/>
    <w:rsid w:val="432C04C4"/>
    <w:rsid w:val="44A72413"/>
    <w:rsid w:val="44FA379B"/>
    <w:rsid w:val="45C66CF9"/>
    <w:rsid w:val="45D103AB"/>
    <w:rsid w:val="464E0797"/>
    <w:rsid w:val="46DF3096"/>
    <w:rsid w:val="47240519"/>
    <w:rsid w:val="481815DE"/>
    <w:rsid w:val="48D367DD"/>
    <w:rsid w:val="4C49019B"/>
    <w:rsid w:val="4C9B4511"/>
    <w:rsid w:val="4CE853CE"/>
    <w:rsid w:val="4D667BAF"/>
    <w:rsid w:val="4E073F0E"/>
    <w:rsid w:val="4E7F2DC3"/>
    <w:rsid w:val="4EBD7FB6"/>
    <w:rsid w:val="4EC918D2"/>
    <w:rsid w:val="4EE73456"/>
    <w:rsid w:val="4FB74EFD"/>
    <w:rsid w:val="50247421"/>
    <w:rsid w:val="50B679B6"/>
    <w:rsid w:val="514310DE"/>
    <w:rsid w:val="516A6EC9"/>
    <w:rsid w:val="518C3C05"/>
    <w:rsid w:val="53564D9D"/>
    <w:rsid w:val="53A30B9A"/>
    <w:rsid w:val="53B709E5"/>
    <w:rsid w:val="540313D5"/>
    <w:rsid w:val="5471196B"/>
    <w:rsid w:val="54EC7875"/>
    <w:rsid w:val="56BE477A"/>
    <w:rsid w:val="56DA5E47"/>
    <w:rsid w:val="576F2D86"/>
    <w:rsid w:val="579E6CD9"/>
    <w:rsid w:val="57BA0B2B"/>
    <w:rsid w:val="5A551433"/>
    <w:rsid w:val="5A9340A0"/>
    <w:rsid w:val="5AAA10A0"/>
    <w:rsid w:val="5AD12093"/>
    <w:rsid w:val="5C033BC0"/>
    <w:rsid w:val="5C372B75"/>
    <w:rsid w:val="5C620362"/>
    <w:rsid w:val="5C976E58"/>
    <w:rsid w:val="5CB169DD"/>
    <w:rsid w:val="5DFF4EA3"/>
    <w:rsid w:val="5EAF79C0"/>
    <w:rsid w:val="5F3A704F"/>
    <w:rsid w:val="5F69359F"/>
    <w:rsid w:val="600F7F8E"/>
    <w:rsid w:val="605C0E2C"/>
    <w:rsid w:val="60AB55CD"/>
    <w:rsid w:val="629F420A"/>
    <w:rsid w:val="62A047CB"/>
    <w:rsid w:val="633A3546"/>
    <w:rsid w:val="64360EF8"/>
    <w:rsid w:val="6529276A"/>
    <w:rsid w:val="65561D37"/>
    <w:rsid w:val="66361989"/>
    <w:rsid w:val="67587B68"/>
    <w:rsid w:val="697E6A67"/>
    <w:rsid w:val="6A1F5B15"/>
    <w:rsid w:val="6ACA2314"/>
    <w:rsid w:val="6BE172C8"/>
    <w:rsid w:val="6BE8147C"/>
    <w:rsid w:val="6D3672A0"/>
    <w:rsid w:val="6D9912B9"/>
    <w:rsid w:val="6F122394"/>
    <w:rsid w:val="6FF90245"/>
    <w:rsid w:val="70C75929"/>
    <w:rsid w:val="70EA56E6"/>
    <w:rsid w:val="70EE53CD"/>
    <w:rsid w:val="713E4CC0"/>
    <w:rsid w:val="7156469D"/>
    <w:rsid w:val="736B2384"/>
    <w:rsid w:val="73B63C77"/>
    <w:rsid w:val="746F7336"/>
    <w:rsid w:val="747852FC"/>
    <w:rsid w:val="74987DD7"/>
    <w:rsid w:val="75A97B3D"/>
    <w:rsid w:val="75B136C4"/>
    <w:rsid w:val="75CD167C"/>
    <w:rsid w:val="769C7B08"/>
    <w:rsid w:val="777506C5"/>
    <w:rsid w:val="77EC41DA"/>
    <w:rsid w:val="785B6B77"/>
    <w:rsid w:val="78E77648"/>
    <w:rsid w:val="796D3657"/>
    <w:rsid w:val="7A595755"/>
    <w:rsid w:val="7B1F668D"/>
    <w:rsid w:val="7BA730A5"/>
    <w:rsid w:val="7C332019"/>
    <w:rsid w:val="7C8330F5"/>
    <w:rsid w:val="7D2B69F2"/>
    <w:rsid w:val="7DA302C5"/>
    <w:rsid w:val="7DEB55F3"/>
    <w:rsid w:val="7EF66AB1"/>
    <w:rsid w:val="7F1629A4"/>
    <w:rsid w:val="7F2A3F1D"/>
    <w:rsid w:val="7F526B1C"/>
    <w:rsid w:val="7FE650A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name="toc 2"/>
    <w:lsdException w:qFormat="1" w:uiPriority="39" w:name="toc 3"/>
    <w:lsdException w:qFormat="1" w:uiPriority="39" w:name="toc 4"/>
    <w:lsdException w:qFormat="1" w:uiPriority="39" w:name="toc 5"/>
    <w:lsdException w:qFormat="1" w:uiPriority="39" w:name="toc 6"/>
    <w:lsdException w:qFormat="1" w:uiPriority="39" w:name="toc 7"/>
    <w:lsdException w:qFormat="1" w:uiPriority="39" w:name="toc 8"/>
    <w:lsdException w:qFormat="1"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asciiTheme="minorAscii" w:hAnsiTheme="minorAscii" w:cstheme="minorBidi"/>
      <w:kern w:val="2"/>
      <w:sz w:val="28"/>
      <w:szCs w:val="22"/>
      <w:lang w:val="en-US" w:eastAsia="zh-CN" w:bidi="ar-SA"/>
    </w:rPr>
  </w:style>
  <w:style w:type="paragraph" w:styleId="2">
    <w:name w:val="heading 1"/>
    <w:basedOn w:val="1"/>
    <w:next w:val="1"/>
    <w:qFormat/>
    <w:uiPriority w:val="9"/>
    <w:pPr>
      <w:keepNext/>
      <w:keepLines/>
      <w:spacing w:before="220" w:beforeLines="0" w:beforeAutospacing="0" w:after="210" w:afterLines="0" w:afterAutospacing="0" w:line="440" w:lineRule="exact"/>
      <w:ind w:firstLine="751" w:firstLineChars="200"/>
      <w:jc w:val="left"/>
      <w:outlineLvl w:val="0"/>
    </w:pPr>
    <w:rPr>
      <w:rFonts w:ascii="Arial" w:hAnsi="Arial" w:eastAsia="黑体"/>
      <w:kern w:val="44"/>
    </w:rPr>
  </w:style>
  <w:style w:type="paragraph" w:styleId="3">
    <w:name w:val="heading 2"/>
    <w:basedOn w:val="1"/>
    <w:next w:val="1"/>
    <w:unhideWhenUsed/>
    <w:qFormat/>
    <w:uiPriority w:val="9"/>
    <w:pPr>
      <w:keepNext/>
      <w:keepLines/>
      <w:spacing w:before="260" w:beforeLines="0" w:beforeAutospacing="0" w:after="260" w:afterLines="0" w:afterAutospacing="0" w:line="440" w:lineRule="exact"/>
      <w:ind w:firstLine="751" w:firstLineChars="200"/>
      <w:outlineLvl w:val="1"/>
    </w:pPr>
    <w:rPr>
      <w:rFonts w:ascii="Arial" w:hAnsi="Arial" w:eastAsia="楷体_GB2312"/>
      <w:b/>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4">
    <w:name w:val="toc 7"/>
    <w:basedOn w:val="1"/>
    <w:next w:val="1"/>
    <w:semiHidden/>
    <w:unhideWhenUsed/>
    <w:qFormat/>
    <w:uiPriority w:val="39"/>
    <w:pPr>
      <w:ind w:left="2520" w:leftChars="1200"/>
    </w:pPr>
  </w:style>
  <w:style w:type="paragraph" w:styleId="5">
    <w:name w:val="annotation text"/>
    <w:basedOn w:val="1"/>
    <w:semiHidden/>
    <w:unhideWhenUsed/>
    <w:qFormat/>
    <w:uiPriority w:val="99"/>
    <w:pPr>
      <w:jc w:val="left"/>
    </w:pPr>
  </w:style>
  <w:style w:type="paragraph" w:styleId="6">
    <w:name w:val="toc 5"/>
    <w:basedOn w:val="1"/>
    <w:next w:val="1"/>
    <w:semiHidden/>
    <w:unhideWhenUsed/>
    <w:qFormat/>
    <w:uiPriority w:val="39"/>
    <w:pPr>
      <w:ind w:left="1680" w:leftChars="800"/>
    </w:pPr>
  </w:style>
  <w:style w:type="paragraph" w:styleId="7">
    <w:name w:val="toc 3"/>
    <w:basedOn w:val="1"/>
    <w:next w:val="1"/>
    <w:semiHidden/>
    <w:unhideWhenUsed/>
    <w:qFormat/>
    <w:uiPriority w:val="39"/>
    <w:pPr>
      <w:ind w:left="840" w:leftChars="400"/>
    </w:pPr>
  </w:style>
  <w:style w:type="paragraph" w:styleId="8">
    <w:name w:val="toc 8"/>
    <w:basedOn w:val="1"/>
    <w:next w:val="1"/>
    <w:semiHidden/>
    <w:unhideWhenUsed/>
    <w:qFormat/>
    <w:uiPriority w:val="39"/>
    <w:pPr>
      <w:ind w:left="2940" w:leftChars="1400"/>
    </w:pPr>
  </w:style>
  <w:style w:type="paragraph" w:styleId="9">
    <w:name w:val="Balloon Text"/>
    <w:basedOn w:val="1"/>
    <w:link w:val="27"/>
    <w:semiHidden/>
    <w:unhideWhenUsed/>
    <w:qFormat/>
    <w:uiPriority w:val="99"/>
    <w:rPr>
      <w:sz w:val="18"/>
      <w:szCs w:val="18"/>
    </w:rPr>
  </w:style>
  <w:style w:type="paragraph" w:styleId="10">
    <w:name w:val="footer"/>
    <w:basedOn w:val="1"/>
    <w:link w:val="23"/>
    <w:unhideWhenUsed/>
    <w:qFormat/>
    <w:uiPriority w:val="99"/>
    <w:pPr>
      <w:tabs>
        <w:tab w:val="center" w:pos="4153"/>
        <w:tab w:val="right" w:pos="8306"/>
      </w:tabs>
      <w:snapToGrid w:val="0"/>
      <w:jc w:val="left"/>
    </w:pPr>
    <w:rPr>
      <w:sz w:val="18"/>
      <w:szCs w:val="18"/>
    </w:rPr>
  </w:style>
  <w:style w:type="paragraph" w:styleId="11">
    <w:name w:val="header"/>
    <w:basedOn w:val="1"/>
    <w:link w:val="22"/>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unhideWhenUsed/>
    <w:qFormat/>
    <w:uiPriority w:val="39"/>
    <w:pPr>
      <w:tabs>
        <w:tab w:val="right" w:leader="dot" w:pos="8528"/>
      </w:tabs>
      <w:spacing w:line="360" w:lineRule="auto"/>
    </w:pPr>
    <w:rPr>
      <w:rFonts w:ascii="黑体" w:hAnsi="黑体" w:eastAsia="黑体"/>
      <w:bCs/>
      <w:sz w:val="32"/>
      <w:szCs w:val="32"/>
    </w:rPr>
  </w:style>
  <w:style w:type="paragraph" w:styleId="13">
    <w:name w:val="toc 4"/>
    <w:basedOn w:val="1"/>
    <w:next w:val="1"/>
    <w:semiHidden/>
    <w:unhideWhenUsed/>
    <w:qFormat/>
    <w:uiPriority w:val="39"/>
    <w:pPr>
      <w:ind w:left="1260" w:leftChars="600"/>
    </w:pPr>
  </w:style>
  <w:style w:type="paragraph" w:styleId="14">
    <w:name w:val="toc 6"/>
    <w:basedOn w:val="1"/>
    <w:next w:val="1"/>
    <w:semiHidden/>
    <w:unhideWhenUsed/>
    <w:qFormat/>
    <w:uiPriority w:val="39"/>
    <w:pPr>
      <w:ind w:left="2100" w:leftChars="1000"/>
    </w:pPr>
  </w:style>
  <w:style w:type="paragraph" w:styleId="15">
    <w:name w:val="toc 2"/>
    <w:basedOn w:val="1"/>
    <w:next w:val="1"/>
    <w:semiHidden/>
    <w:unhideWhenUsed/>
    <w:qFormat/>
    <w:uiPriority w:val="39"/>
    <w:pPr>
      <w:ind w:left="420" w:leftChars="200"/>
    </w:pPr>
  </w:style>
  <w:style w:type="paragraph" w:styleId="16">
    <w:name w:val="toc 9"/>
    <w:basedOn w:val="1"/>
    <w:next w:val="1"/>
    <w:semiHidden/>
    <w:unhideWhenUsed/>
    <w:qFormat/>
    <w:uiPriority w:val="39"/>
    <w:pPr>
      <w:ind w:left="3360" w:leftChars="1600"/>
    </w:pPr>
  </w:style>
  <w:style w:type="paragraph" w:styleId="17">
    <w:name w:val="Title"/>
    <w:basedOn w:val="1"/>
    <w:qFormat/>
    <w:uiPriority w:val="10"/>
    <w:pPr>
      <w:spacing w:before="240" w:beforeLines="0" w:beforeAutospacing="0" w:after="60" w:afterLines="0" w:afterAutospacing="0"/>
      <w:jc w:val="center"/>
      <w:outlineLvl w:val="0"/>
    </w:pPr>
    <w:rPr>
      <w:rFonts w:ascii="Arial" w:hAnsi="Arial"/>
      <w:b/>
      <w:sz w:val="32"/>
    </w:rPr>
  </w:style>
  <w:style w:type="character" w:styleId="20">
    <w:name w:val="Strong"/>
    <w:basedOn w:val="19"/>
    <w:qFormat/>
    <w:uiPriority w:val="22"/>
    <w:rPr>
      <w:b/>
      <w:bCs/>
    </w:rPr>
  </w:style>
  <w:style w:type="character" w:styleId="21">
    <w:name w:val="Hyperlink"/>
    <w:basedOn w:val="19"/>
    <w:semiHidden/>
    <w:unhideWhenUsed/>
    <w:qFormat/>
    <w:uiPriority w:val="99"/>
    <w:rPr>
      <w:color w:val="0000FF"/>
      <w:u w:val="single"/>
    </w:rPr>
  </w:style>
  <w:style w:type="character" w:customStyle="1" w:styleId="22">
    <w:name w:val="页眉 Char"/>
    <w:basedOn w:val="19"/>
    <w:link w:val="11"/>
    <w:semiHidden/>
    <w:qFormat/>
    <w:uiPriority w:val="99"/>
    <w:rPr>
      <w:sz w:val="18"/>
      <w:szCs w:val="18"/>
    </w:rPr>
  </w:style>
  <w:style w:type="character" w:customStyle="1" w:styleId="23">
    <w:name w:val="页脚 Char"/>
    <w:basedOn w:val="19"/>
    <w:link w:val="10"/>
    <w:qFormat/>
    <w:uiPriority w:val="99"/>
    <w:rPr>
      <w:sz w:val="18"/>
      <w:szCs w:val="18"/>
    </w:rPr>
  </w:style>
  <w:style w:type="paragraph" w:customStyle="1" w:styleId="24">
    <w:name w:val="WPSOffice手动目录 1"/>
    <w:qFormat/>
    <w:uiPriority w:val="0"/>
    <w:rPr>
      <w:rFonts w:ascii="Times New Roman" w:hAnsi="Times New Roman" w:eastAsia="宋体" w:cs="Times New Roman"/>
      <w:lang w:val="en-US" w:eastAsia="zh-CN" w:bidi="ar-SA"/>
    </w:rPr>
  </w:style>
  <w:style w:type="paragraph" w:customStyle="1" w:styleId="25">
    <w:name w:val="WPSOffice手动目录 2"/>
    <w:qFormat/>
    <w:uiPriority w:val="0"/>
    <w:pPr>
      <w:ind w:left="200" w:leftChars="200"/>
    </w:pPr>
    <w:rPr>
      <w:rFonts w:ascii="Times New Roman" w:hAnsi="Times New Roman" w:eastAsia="宋体" w:cs="Times New Roman"/>
      <w:lang w:val="en-US" w:eastAsia="zh-CN" w:bidi="ar-SA"/>
    </w:rPr>
  </w:style>
  <w:style w:type="paragraph" w:styleId="26">
    <w:name w:val="List Paragraph"/>
    <w:basedOn w:val="1"/>
    <w:qFormat/>
    <w:uiPriority w:val="99"/>
    <w:pPr>
      <w:ind w:firstLine="420" w:firstLineChars="200"/>
    </w:pPr>
  </w:style>
  <w:style w:type="character" w:customStyle="1" w:styleId="27">
    <w:name w:val="批注框文本 Char"/>
    <w:basedOn w:val="19"/>
    <w:link w:val="9"/>
    <w:semiHidden/>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3.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ontractReview xmlns="http://schemas.wps.cn/vas-ai-hub/contract-review">
  <reviewItems>
    <reviewItem>
      <errorID>37aeab07-f1e8-4b14-846e-d7dc1f3cf67c</errorID>
      <errorWord>补充编外人员联合招聘</errorWord>
      <group>L1_Other</group>
      <groupName>其他问题</groupName>
      <ability>L2_Consistency</ability>
      <abilityName>一致性检查</abilityName>
      <candidateList>
        <item>补充编外人员招聘</item>
      </candidateList>
      <explain>实体一致性错误，全文其余各处均表述为“2026年8月集美区辖区街道社区卫生服务中心补充编外人员招聘”，仅标题此处多了“联合”二字，表述不一致</explain>
      <paraID>3D694B39</paraID>
      <start>2</start>
      <end>10</end>
      <status>modified</status>
      <modifiedWord>补充编外人员招聘</modifiedWord>
      <trackRevisions>false</trackRevisions>
    </reviewItem>
    <reviewItem>
      <errorID>3809f322-1ac1-4d45-9255-04a93e7e358f</errorID>
      <errorWord>及提醒</errorWord>
      <group>L1_Grammar</group>
      <groupName>语法问题</groupName>
      <ability>L2_Grammar</ability>
      <abilityName>语法错误</abilityName>
      <candidateList>
        <item>及</item>
      </candidateList>
      <explain/>
      <paraID>2BF4465B</paraID>
      <start>19</start>
      <end>20</end>
      <status>modified</status>
      <modifiedWord>及</modifiedWord>
      <trackRevisions>false</trackRevisions>
    </reviewItem>
    <reviewItem>
      <errorID>eec1498a-de8e-49a3-974e-3465fee75454</errorID>
      <errorWord>(聘)</errorWord>
      <group>L1_Punc</group>
      <groupName>标点问题</groupName>
      <ability>L2_Punc_CN</ability>
      <abilityName>标点符号问题</abilityName>
      <candidateList>
        <item>（聘）</item>
      </candidateList>
      <explain/>
      <paraID>7DCB5422</paraID>
      <start>28</start>
      <end>31</end>
      <status>modified</status>
      <modifiedWord>（聘）</modifiedWord>
      <trackRevisions>false</trackRevisions>
    </reviewItem>
    <reviewItem>
      <errorID>c7ac7dd1-00a6-4726-b823-6c15fbc4481b</errorID>
      <errorWord>均指</errorWord>
      <group>L1_Word</group>
      <groupName>字词问题</groupName>
      <ability>L2_Typo</ability>
      <abilityName>字词错误</abilityName>
      <candidateList>
        <item>均</item>
      </candidateList>
      <explain/>
      <paraID>47509EBF</paraID>
      <start>23</start>
      <end>24</end>
      <status>modified</status>
      <modifiedWord>均</modifiedWord>
      <trackRevisions>false</trackRevisions>
    </reviewItem>
    <reviewItem>
      <errorID>582d91fb-4500-464f-b6c4-fd844e233103</errorID>
      <errorWord>依此类推</errorWord>
      <group>L1_Word</group>
      <groupName>字词问题</groupName>
      <ability>L2_Typo</ability>
      <abilityName>字词错误</abilityName>
      <candidateList>
        <item>以此类推</item>
      </candidateList>
      <explain>存在发音相同字词的误用。</explain>
      <paraID>56008A59</paraID>
      <start>6</start>
      <end>10</end>
      <status>modified</status>
      <modifiedWord>以此类推</modifiedWord>
      <trackRevisions>false</trackRevisions>
    </reviewItem>
    <reviewItem>
      <errorID>d0f51eaa-1951-44f4-aaab-45a9504422f3</errorID>
      <errorWord>四、</errorWord>
      <group>L1_Punc</group>
      <groupName>标点问题</groupName>
      <ability>L2_Punc_CN</ability>
      <abilityName>标点符号问题</abilityName>
      <candidateList>
        <item>（四）</item>
      </candidateList>
      <explain/>
      <paraID>2A5D9E57</paraID>
      <start>0</start>
      <end>2</end>
      <status>ignored</status>
      <modifiedWord/>
      <trackRevisions>false</trackRevisions>
    </reviewItem>
    <reviewItem>
      <errorID>41125b81-5c8d-4593-ae29-bbf6f3dcabed</errorID>
      <errorWord>、</errorWord>
      <group>L1_Punc</group>
      <groupName>标点问题</groupName>
      <ability>L2_Punc_CN</ability>
      <abilityName>标点符号问题</abilityName>
      <candidateList>
        <item>，</item>
      </candidateList>
      <explain/>
      <paraID>1B6B1F69</paraID>
      <start>17</start>
      <end>18</end>
      <status>modified</status>
      <modifiedWord>，</modifiedWord>
      <trackRevisions>false</trackRevisions>
    </reviewItem>
    <reviewItem>
      <errorID>6df658c8-8e18-4a7d-8e6c-baeb15345511</errorID>
      <errorWord>、</errorWord>
      <group>L1_Grammar</group>
      <groupName>语法问题</groupName>
      <ability>L2_Grammar</ability>
      <abilityName>语法错误</abilityName>
      <candidateList>
        <item>证明、</item>
      </candidateList>
      <explain/>
      <paraID>28A79351</paraID>
      <start>48</start>
      <end>51</end>
      <status>modified</status>
      <modifiedWord>证明、</modifiedWord>
      <trackRevisions>false</trackRevisions>
    </reviewItem>
    <reviewItem>
      <errorID>c9ff6418-442d-47cc-ab9b-c02f5866ff7d</errorID>
      <errorWord>，</errorWord>
      <group>L1_Punc</group>
      <groupName>标点问题</groupName>
      <ability>L2_Punc_CN</ability>
      <abilityName>标点符号问题</abilityName>
      <candidateList>
        <item>、</item>
      </candidateList>
      <explain/>
      <paraID>7A1A20A0</paraID>
      <start>32</start>
      <end>33</end>
      <status>modified</status>
      <modifiedWord>、</modifiedWord>
      <trackRevisions>false</trackRevisions>
    </reviewItem>
    <reviewItem>
      <errorID>e2538157-99d3-40c2-ba42-a9389acf8824</errorID>
      <errorWord>》证明</errorWord>
      <group>L1_Grammar</group>
      <groupName>语法问题</groupName>
      <ability>L2_Grammar</ability>
      <abilityName>语法错误</abilityName>
      <candidateList>
        <item>》</item>
      </candidateList>
      <explain/>
      <paraID>3E57F5D3</paraID>
      <start>40</start>
      <end>41</end>
      <status>modified</status>
      <modifiedWord>》</modifiedWord>
      <trackRevisions>false</trackRevisions>
    </reviewItem>
    <reviewItem>
      <errorID>af22bef7-be23-4bcf-b932-87439da369f4</errorID>
      <errorWord>经历（验）</errorWord>
      <group>L1_Grammar</group>
      <groupName>语法问题</groupName>
      <ability>L2_Grammar</ability>
      <abilityName>语法错误</abilityName>
      <candidateList>
        <item>经历</item>
      </candidateList>
      <explain/>
      <paraID>7B908E28</paraID>
      <start>34</start>
      <end>36</end>
      <status>modified</status>
      <modifiedWord>经历</modifiedWord>
      <trackRevisions>false</trackRevisions>
    </reviewItem>
    <reviewItem>
      <errorID>3073e6a0-a899-4fcc-9a13-3eb6ae1a9900</errorID>
      <errorWord>工作经历（验）年限</errorWord>
      <group>L1_Other</group>
      <groupName>其他问题</groupName>
      <ability>L2_Consistency</ability>
      <abilityName>一致性检查</abilityName>
      <candidateList>
        <item>工作经验年限</item>
      </candidateList>
      <explain>术语一致性错误，原文分别定义了“工作经历”和“工作经验”两个概念，此处所指为工作经验年限，错误合并简写为“工作经历（验）年限”，存在表述不一致</explain>
      <paraID>2BF475CC</paraID>
      <start>9</start>
      <end>15</end>
      <status>modified</status>
      <modifiedWord>工作经验年限</modifiedWord>
      <trackRevisions>false</trackRevisions>
    </reviewItem>
    <reviewItem>
      <errorID>9f68c00b-eab9-49f6-aecb-9bed1aa5b66a</errorID>
      <errorWord>经历（验）</errorWord>
      <group>L1_Grammar</group>
      <groupName>语法问题</groupName>
      <ability>L2_Grammar</ability>
      <abilityName>语法错误</abilityName>
      <candidateList>
        <item>经历</item>
      </candidateList>
      <explain/>
      <paraID>2BF475CC</paraID>
      <start>33</start>
      <end>35</end>
      <status>modified</status>
      <modifiedWord>经历</modifiedWord>
      <trackRevisions>false</trackRevisions>
    </reviewItem>
    <reviewItem>
      <errorID>4ad15461-7c55-490f-b15e-b3c671dec070</errorID>
      <errorWord>由</errorWord>
      <group>L1_Word</group>
      <groupName>字词问题</groupName>
      <ability>L2_Typo</ability>
      <abilityName>字词错误</abilityName>
      <candidateList>
        <item>在</item>
      </candidateList>
      <explain/>
      <paraID>1FBBF338</paraID>
      <start>10</start>
      <end>11</end>
      <status>modified</status>
      <modifiedWord>在</modifiedWord>
      <trackRevisions>false</trackRevisions>
    </reviewItem>
    <reviewItem>
      <errorID>a4530581-9e4f-429e-8ecd-d7933ada1d58</errorID>
      <errorWord>体</errorWord>
      <group>L1_Word</group>
      <groupName>字词问题</groupName>
      <ability>L2_Typo</ability>
      <abilityName>字词错误</abilityName>
      <candidateList>
        <item>体检</item>
      </candidateList>
      <explain/>
      <paraID>331D9B64</paraID>
      <start>0</start>
      <end>1</end>
      <status>ignored</status>
      <modifiedWord/>
      <trackRevisions>false</trackRevisions>
    </reviewItem>
    <reviewItem>
      <errorID>0761dcc5-5a68-48b1-91cd-a4c64788be6c</errorID>
      <errorWord>卫生部</errorWord>
      <group>L1_Knowledge</group>
      <groupName>知识性问题</groupName>
      <ability>L2_Organization</ability>
      <abilityName>机构检查</abilityName>
      <candidateList/>
      <explain>2013年3月，根据《国务院关于提请审议国务院机构改革和职能转变方案》的议案，组建国家卫生和计划生育委员会，不再保留卫生部。2018年3月，中共中央印发了《深化党和国家机构改革方案》，组建国家卫生健康委员会，不再保留国家卫生和计划生育委员会。</explain>
      <paraID>440D1F57</paraID>
      <start>14</start>
      <end>17</end>
      <status>ignored</status>
      <modifiedWord/>
      <trackRevisions>false</trackRevisions>
    </reviewItem>
    <reviewItem>
      <errorID>df735a43-19ff-4855-8a59-982fa1c39335</errorID>
      <errorWord>《</errorWord>
      <group>L1_Word</group>
      <groupName>字词问题</groupName>
      <ability>L2_Typo</ability>
      <abilityName>字词错误</abilityName>
      <candidateList>
        <item>局《</item>
      </candidateList>
      <explain/>
      <paraID>440D1F57</paraID>
      <start>23</start>
      <end>25</end>
      <status>modified</status>
      <modifiedWord>局《</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31E185A-15A1-453C-A9E9-75FAC8DC482B}">
  <ds:schemaRefs/>
</ds:datastoreItem>
</file>

<file path=customXml/itemProps3.xml><?xml version="1.0" encoding="utf-8"?>
<ds:datastoreItem xmlns:ds="http://schemas.openxmlformats.org/officeDocument/2006/customXml" ds:itemID="{56fdd515-e743-4fbf-9995-9a42804e90d8}">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Pages>
  <Words>5044</Words>
  <Characters>5183</Characters>
  <Lines>1</Lines>
  <Paragraphs>1</Paragraphs>
  <TotalTime>33</TotalTime>
  <ScaleCrop>false</ScaleCrop>
  <LinksUpToDate>false</LinksUpToDate>
  <CharactersWithSpaces>5273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2020-11-05T02:09:00Z</dcterms:created>
  <dc:creator>dell</dc:creator>
  <cp:lastModifiedBy>小泷侠</cp:lastModifiedBy>
  <cp:lastPrinted>2025-07-28T08:55:00Z</cp:lastPrinted>
  <dcterms:modified xsi:type="dcterms:W3CDTF">2026-08-11T09:47:25Z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41BD9C2CD2B74B89A69E1087D257D855_13</vt:lpwstr>
  </property>
  <property fmtid="{D5CDD505-2E9C-101B-9397-08002B2CF9AE}" pid="4" name="KSOTemplateDocerSaveRecord">
    <vt:lpwstr>eyJoZGlkIjoiMzEwNTM5NzYwMDRjMzkwZTVkZjY2ODkwMGIxNGU0OTUiLCJ1c2VySWQiOiIyNzMwNjMyNjAifQ==</vt:lpwstr>
  </property>
</Properties>
</file>