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黑体" w:cs="Times New Roman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  <w:t>1</w:t>
      </w:r>
    </w:p>
    <w:p>
      <w:pPr>
        <w:spacing w:line="560" w:lineRule="exact"/>
        <w:ind w:firstLine="300" w:firstLineChars="100"/>
        <w:jc w:val="both"/>
        <w:rPr>
          <w:rFonts w:hint="eastAsia" w:ascii="方正小标宋简体" w:hAnsi="方正小标宋简体" w:eastAsia="方正小标宋简体" w:cs="方正小标宋简体"/>
          <w:color w:val="000000"/>
          <w:sz w:val="30"/>
          <w:szCs w:val="3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0"/>
          <w:szCs w:val="30"/>
          <w:highlight w:val="none"/>
          <w:lang w:val="en-US" w:eastAsia="zh-CN"/>
        </w:rPr>
        <w:t>四川创锦发展控股集团有限公司</w:t>
      </w:r>
      <w:r>
        <w:rPr>
          <w:rFonts w:hint="eastAsia" w:ascii="方正小标宋简体" w:hAnsi="方正小标宋简体" w:eastAsia="方正小标宋简体" w:cs="方正小标宋简体"/>
          <w:color w:val="000000"/>
          <w:sz w:val="30"/>
          <w:szCs w:val="30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30"/>
          <w:szCs w:val="30"/>
          <w:highlight w:val="none"/>
        </w:rPr>
        <w:t>年公开招聘</w:t>
      </w:r>
      <w:r>
        <w:rPr>
          <w:rFonts w:hint="eastAsia" w:ascii="方正小标宋简体" w:hAnsi="方正小标宋简体" w:eastAsia="方正小标宋简体" w:cs="方正小标宋简体"/>
          <w:color w:val="000000"/>
          <w:sz w:val="30"/>
          <w:szCs w:val="30"/>
          <w:highlight w:val="none"/>
          <w:lang w:eastAsia="zh-CN"/>
        </w:rPr>
        <w:t>四川元启健康服务有限责任</w:t>
      </w:r>
      <w:r>
        <w:rPr>
          <w:rFonts w:hint="eastAsia" w:ascii="方正小标宋简体" w:hAnsi="方正小标宋简体" w:eastAsia="方正小标宋简体" w:cs="方正小标宋简体"/>
          <w:color w:val="000000"/>
          <w:sz w:val="30"/>
          <w:szCs w:val="30"/>
          <w:highlight w:val="none"/>
          <w:lang w:val="en-US" w:eastAsia="zh-CN"/>
        </w:rPr>
        <w:t>公司运营经理</w:t>
      </w:r>
      <w:r>
        <w:rPr>
          <w:rFonts w:hint="eastAsia" w:ascii="方正小标宋简体" w:hAnsi="方正小标宋简体" w:eastAsia="方正小标宋简体" w:cs="方正小标宋简体"/>
          <w:color w:val="000000"/>
          <w:sz w:val="30"/>
          <w:szCs w:val="30"/>
          <w:highlight w:val="none"/>
        </w:rPr>
        <w:t>条件一览表</w:t>
      </w:r>
    </w:p>
    <w:tbl>
      <w:tblPr>
        <w:tblStyle w:val="3"/>
        <w:tblW w:w="14263" w:type="dxa"/>
        <w:tblInd w:w="-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710"/>
        <w:gridCol w:w="410"/>
        <w:gridCol w:w="5280"/>
        <w:gridCol w:w="5194"/>
        <w:gridCol w:w="11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Style w:val="5"/>
                <w:rFonts w:hint="eastAsia"/>
                <w:highlight w:val="none"/>
                <w:lang w:val="en-US" w:eastAsia="zh-CN" w:bidi="ar"/>
              </w:rPr>
              <w:t>序</w:t>
            </w:r>
            <w:r>
              <w:rPr>
                <w:rStyle w:val="5"/>
                <w:highlight w:val="none"/>
                <w:lang w:val="en-US" w:eastAsia="zh-CN" w:bidi="ar"/>
              </w:rPr>
              <w:t>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岗位名称</w:t>
            </w:r>
          </w:p>
        </w:tc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人数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岗位职责</w:t>
            </w:r>
          </w:p>
        </w:tc>
        <w:tc>
          <w:tcPr>
            <w:tcW w:w="5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任职要求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岗位待遇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运营经理</w:t>
            </w:r>
          </w:p>
        </w:tc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1.经营统筹与目标达成：全面主持项目经营工作，分解并落实年度入住率、营收及成本管控指标；定期进行经营复盘与效益优化，对机构整体盈利能力和客户满意度负总责。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2.标准体系搭建：主导建立失能老人照护标准化体系（含生活照料、卧床护理、安全巡查等），制定服务规范与考核标准，推动机构运营向专业化、精细化升级。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3.运营落地与服务管控：统筹入住评估、分级照护方案制定及个性化照护落地；重点监督助浴、翻身、用药等失能照护细节，严控服务质量，杜绝服务疏漏。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4.市场拓展与客源开发：开展市场调研与竞品分析，拓展社区、医院、民政等多渠道客源；优化咨询、参观、签约全流程，提升入住转化率，保障客源稳定。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5.团队建设与人员管理：负责护理及后勤团队的选聘、分工与日常管理；组织失能照护技能、安全操作及服务礼仪培训，提升团队专业度与应急处置能力。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6.安全风控与质量监管：主抓坠床、压疮、噎食等高危风险排查与预防；健全安全巡查与应急处置机制；妥善处理投诉与纠纷，落实消防、防疫、食品等安全管理制度。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7.政策对接与资源整合：对接民政、卫健等主管部门，统筹机构年审、评级及政策补贴申报；整合医护、社区及公益资源，完善配套服务体系。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8.品牌建设与服务升级：紧跟行业趋势优化照护服务产品，策划适老化及关爱活动，打造专业化失能照护品牌，提升机构社会美誉度与市场竞争力。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本科及以上学历，企业管理、工商管理、公共管理、养老服务管理、康养、护理、老年学、社会工作等相关专业优先。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2.年龄45周岁以下，综合素质优秀、需具备成熟康养运营管理经验及实际工作能力。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3.具备2年及以上养老机构、康养中心、老年护理院运营管理经验，有失能、半失能老人专项照护项目全盘运营操盘经验者优先，年龄可适当放宽至48岁。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4.熟悉失能老人照护体系、分级护理标准、老年常见病护理要点，精通养老机构全套运营流程、服务规范与管理制度。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5.深度了解民政养老政策、行业标准、养老机构等级评定要求，具备政策申报、迎检、资质维护等实战经验。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6.具备成熟的市场拓展、渠道开发、客源转化能力，拥有社区、民政、医院等养老资源者优先。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7.具备优秀的团队管理、统筹协调、风险把控能力，抗压能力强，具有极强的责任心、耐心与服务意识，尊重老年群体。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8.具备良好的数据复盘、成本管控能力，能够根据入住数据、服务投诉、运营短板持续优化管理体系，提升整体运营效益。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创锦集团下发子公司《薪酬套改方案》相应级别，年薪9—13万元（含五险一金），薪酬组成：基础工资+岗位工资+绩效工资（需根据年度入住率、营收目标达成及成本管控等指标考核确定）。享受节日福利、生日福利、年休假等。</w:t>
            </w:r>
          </w:p>
        </w:tc>
      </w:tr>
    </w:tbl>
    <w:p/>
    <w:sectPr>
      <w:pgSz w:w="16838" w:h="11906" w:orient="landscape"/>
      <w:pgMar w:top="850" w:right="850" w:bottom="85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E21150"/>
    <w:rsid w:val="FBBE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51"/>
    <w:basedOn w:val="4"/>
    <w:qFormat/>
    <w:uiPriority w:val="0"/>
    <w:rPr>
      <w:rFonts w:ascii="楷体" w:hAnsi="楷体" w:eastAsia="楷体" w:cs="楷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2026-08-11T10:51:00Z</dcterms:created>
  <dc:creator>Administrator</dc:creator>
  <cp:lastModifiedBy>RCJL</cp:lastModifiedBy>
  <dcterms:modified xsi:type="dcterms:W3CDTF">2026-08-11T15:31:03Z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KSOTemplateDocerSaveRecord">
    <vt:lpwstr>eyJoZGlkIjoiMjllOTU0MWZmN2UyNTM1Mzc4Y2IyYjRlNmVjZWZiNzgiLCJ1c2VySWQiOiI1MDcyMTc2NzgifQ==</vt:lpwstr>
  </property>
  <property fmtid="{D5CDD505-2E9C-101B-9397-08002B2CF9AE}" pid="4" name="ICV">
    <vt:lpwstr>0AF828D403E34444A765A0298DBE3224_12</vt:lpwstr>
  </property>
</Properties>
</file>