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F27A1">
      <w:pPr>
        <w:spacing w:line="500" w:lineRule="exact"/>
        <w:rPr>
          <w:rFonts w:ascii="黑体" w:hAnsi="黑体" w:eastAsia="黑体"/>
          <w:sz w:val="32"/>
          <w:szCs w:val="32"/>
        </w:rPr>
      </w:pPr>
      <w:r>
        <w:rPr>
          <w:rFonts w:hint="eastAsia" w:ascii="黑体" w:hAnsi="黑体" w:eastAsia="黑体"/>
          <w:sz w:val="32"/>
          <w:szCs w:val="32"/>
        </w:rPr>
        <w:t>附件1：</w:t>
      </w:r>
    </w:p>
    <w:p w14:paraId="138B2DD5">
      <w:pPr>
        <w:spacing w:line="500" w:lineRule="exact"/>
        <w:jc w:val="center"/>
        <w:rPr>
          <w:rFonts w:ascii="方正小标宋简体" w:eastAsia="方正小标宋简体"/>
          <w:sz w:val="44"/>
          <w:szCs w:val="44"/>
        </w:rPr>
      </w:pPr>
    </w:p>
    <w:p w14:paraId="3A82AA0F">
      <w:pPr>
        <w:spacing w:line="500" w:lineRule="exact"/>
        <w:jc w:val="center"/>
        <w:rPr>
          <w:rFonts w:ascii="方正小标宋简体" w:eastAsia="方正小标宋简体"/>
          <w:sz w:val="44"/>
          <w:szCs w:val="44"/>
        </w:rPr>
      </w:pPr>
      <w:bookmarkStart w:id="0" w:name="_GoBack"/>
      <w:r>
        <w:rPr>
          <w:rFonts w:hint="eastAsia" w:ascii="方正小标宋简体" w:eastAsia="方正小标宋简体"/>
          <w:sz w:val="44"/>
          <w:szCs w:val="44"/>
        </w:rPr>
        <w:t>广丰区202</w:t>
      </w:r>
      <w:r>
        <w:rPr>
          <w:rFonts w:hint="eastAsia" w:ascii="方正小标宋简体" w:eastAsia="方正小标宋简体"/>
          <w:sz w:val="44"/>
          <w:szCs w:val="44"/>
          <w:lang w:val="en-US" w:eastAsia="zh-CN"/>
        </w:rPr>
        <w:t>6</w:t>
      </w:r>
      <w:r>
        <w:rPr>
          <w:rFonts w:hint="eastAsia" w:ascii="方正小标宋简体" w:eastAsia="方正小标宋简体"/>
          <w:sz w:val="44"/>
          <w:szCs w:val="44"/>
        </w:rPr>
        <w:t>年中小学教师选调考试报名及</w:t>
      </w:r>
    </w:p>
    <w:p w14:paraId="1F54DBB3">
      <w:pPr>
        <w:spacing w:line="500" w:lineRule="exact"/>
        <w:jc w:val="center"/>
        <w:rPr>
          <w:rFonts w:ascii="方正小标宋简体" w:eastAsia="方正小标宋简体"/>
          <w:sz w:val="44"/>
          <w:szCs w:val="44"/>
        </w:rPr>
      </w:pPr>
      <w:r>
        <w:rPr>
          <w:rFonts w:hint="eastAsia" w:ascii="方正小标宋简体" w:eastAsia="方正小标宋简体"/>
          <w:sz w:val="44"/>
          <w:szCs w:val="44"/>
        </w:rPr>
        <w:t>积分审核办法</w:t>
      </w:r>
    </w:p>
    <w:bookmarkEnd w:id="0"/>
    <w:p w14:paraId="1428D330">
      <w:pPr>
        <w:spacing w:line="500" w:lineRule="exact"/>
        <w:rPr>
          <w:rFonts w:ascii="仿宋_GB2312" w:eastAsia="仿宋_GB2312"/>
          <w:sz w:val="32"/>
          <w:szCs w:val="32"/>
        </w:rPr>
      </w:pPr>
    </w:p>
    <w:p w14:paraId="1ABAC191">
      <w:pPr>
        <w:spacing w:line="500" w:lineRule="exact"/>
        <w:ind w:firstLine="640" w:firstLineChars="200"/>
        <w:rPr>
          <w:rFonts w:ascii="黑体" w:hAnsi="黑体" w:eastAsia="黑体"/>
          <w:sz w:val="32"/>
          <w:szCs w:val="32"/>
        </w:rPr>
      </w:pPr>
      <w:r>
        <w:rPr>
          <w:rFonts w:hint="eastAsia" w:ascii="黑体" w:hAnsi="黑体" w:eastAsia="黑体"/>
          <w:sz w:val="32"/>
          <w:szCs w:val="32"/>
        </w:rPr>
        <w:t>一、报名方式与积分审核</w:t>
      </w:r>
    </w:p>
    <w:p w14:paraId="3FBFC80A">
      <w:pPr>
        <w:ind w:firstLine="640" w:firstLineChars="200"/>
        <w:rPr>
          <w:rFonts w:ascii="仿宋_GB2312" w:eastAsia="仿宋_GB2312"/>
          <w:sz w:val="32"/>
          <w:szCs w:val="32"/>
        </w:rPr>
      </w:pPr>
      <w:r>
        <w:rPr>
          <w:rFonts w:hint="eastAsia" w:ascii="仿宋_GB2312" w:eastAsia="仿宋_GB2312"/>
          <w:sz w:val="32"/>
          <w:szCs w:val="32"/>
        </w:rPr>
        <w:t>本次城区及周边学校选调教师考试实行以校为单位进行报名及积分审核，由编制所在学校负责报名及积分审核；报考人员在民办学校任教期间的业绩档次积分参照我区2023年选调考试的认定办法予以认定。</w:t>
      </w:r>
    </w:p>
    <w:p w14:paraId="7545BB43">
      <w:pPr>
        <w:spacing w:line="500" w:lineRule="exact"/>
        <w:ind w:firstLine="640" w:firstLineChars="200"/>
        <w:rPr>
          <w:rFonts w:ascii="黑体" w:hAnsi="黑体" w:eastAsia="黑体"/>
          <w:sz w:val="32"/>
          <w:szCs w:val="32"/>
        </w:rPr>
      </w:pPr>
      <w:r>
        <w:rPr>
          <w:rFonts w:hint="eastAsia" w:ascii="黑体" w:hAnsi="黑体" w:eastAsia="黑体"/>
          <w:sz w:val="32"/>
          <w:szCs w:val="32"/>
        </w:rPr>
        <w:t>二、积分项目及评分细则</w:t>
      </w:r>
    </w:p>
    <w:tbl>
      <w:tblPr>
        <w:tblStyle w:val="2"/>
        <w:tblW w:w="8412" w:type="dxa"/>
        <w:jc w:val="center"/>
        <w:tblLayout w:type="fixed"/>
        <w:tblCellMar>
          <w:top w:w="0" w:type="dxa"/>
          <w:left w:w="108" w:type="dxa"/>
          <w:bottom w:w="0" w:type="dxa"/>
          <w:right w:w="108" w:type="dxa"/>
        </w:tblCellMar>
      </w:tblPr>
      <w:tblGrid>
        <w:gridCol w:w="1750"/>
        <w:gridCol w:w="6662"/>
      </w:tblGrid>
      <w:tr w14:paraId="164A14FB">
        <w:tblPrEx>
          <w:tblCellMar>
            <w:top w:w="0" w:type="dxa"/>
            <w:left w:w="108" w:type="dxa"/>
            <w:bottom w:w="0" w:type="dxa"/>
            <w:right w:w="108" w:type="dxa"/>
          </w:tblCellMar>
        </w:tblPrEx>
        <w:trPr>
          <w:trHeight w:val="720" w:hRule="atLeast"/>
          <w:jc w:val="center"/>
        </w:trPr>
        <w:tc>
          <w:tcPr>
            <w:tcW w:w="1750" w:type="dxa"/>
            <w:tcBorders>
              <w:top w:val="single" w:color="auto" w:sz="4" w:space="0"/>
              <w:left w:val="single" w:color="auto" w:sz="4" w:space="0"/>
              <w:bottom w:val="single" w:color="auto" w:sz="4" w:space="0"/>
              <w:right w:val="single" w:color="auto" w:sz="4" w:space="0"/>
            </w:tcBorders>
            <w:vAlign w:val="center"/>
          </w:tcPr>
          <w:p w14:paraId="6889EDE6">
            <w:pPr>
              <w:spacing w:line="380" w:lineRule="exact"/>
              <w:jc w:val="center"/>
              <w:rPr>
                <w:rFonts w:cs="宋体" w:asciiTheme="minorEastAsia" w:hAnsiTheme="minorEastAsia"/>
                <w:b/>
                <w:bCs/>
                <w:kern w:val="0"/>
                <w:sz w:val="24"/>
              </w:rPr>
            </w:pPr>
            <w:r>
              <w:rPr>
                <w:rFonts w:hint="eastAsia" w:cs="宋体" w:asciiTheme="minorEastAsia" w:hAnsiTheme="minorEastAsia"/>
                <w:b/>
                <w:bCs/>
                <w:kern w:val="0"/>
                <w:sz w:val="24"/>
              </w:rPr>
              <w:t>价项目及分值</w:t>
            </w:r>
          </w:p>
        </w:tc>
        <w:tc>
          <w:tcPr>
            <w:tcW w:w="6662" w:type="dxa"/>
            <w:tcBorders>
              <w:top w:val="single" w:color="auto" w:sz="4" w:space="0"/>
              <w:left w:val="nil"/>
              <w:bottom w:val="single" w:color="auto" w:sz="4" w:space="0"/>
              <w:right w:val="single" w:color="auto" w:sz="4" w:space="0"/>
            </w:tcBorders>
            <w:vAlign w:val="center"/>
          </w:tcPr>
          <w:p w14:paraId="35942C38">
            <w:pPr>
              <w:spacing w:line="380" w:lineRule="exact"/>
              <w:jc w:val="center"/>
              <w:rPr>
                <w:rFonts w:cs="宋体" w:asciiTheme="minorEastAsia" w:hAnsiTheme="minorEastAsia"/>
                <w:b/>
                <w:bCs/>
                <w:kern w:val="0"/>
                <w:sz w:val="24"/>
              </w:rPr>
            </w:pPr>
            <w:r>
              <w:rPr>
                <w:rFonts w:hint="eastAsia" w:cs="宋体" w:asciiTheme="minorEastAsia" w:hAnsiTheme="minorEastAsia"/>
                <w:b/>
                <w:bCs/>
                <w:kern w:val="0"/>
                <w:sz w:val="24"/>
              </w:rPr>
              <w:t>评  分  细  则</w:t>
            </w:r>
          </w:p>
        </w:tc>
      </w:tr>
      <w:tr w14:paraId="402FE48F">
        <w:tblPrEx>
          <w:tblCellMar>
            <w:top w:w="0" w:type="dxa"/>
            <w:left w:w="108" w:type="dxa"/>
            <w:bottom w:w="0" w:type="dxa"/>
            <w:right w:w="108" w:type="dxa"/>
          </w:tblCellMar>
        </w:tblPrEx>
        <w:trPr>
          <w:trHeight w:val="1049" w:hRule="atLeast"/>
          <w:jc w:val="center"/>
        </w:trPr>
        <w:tc>
          <w:tcPr>
            <w:tcW w:w="1750" w:type="dxa"/>
            <w:vMerge w:val="restart"/>
            <w:tcBorders>
              <w:top w:val="nil"/>
              <w:left w:val="single" w:color="auto" w:sz="4" w:space="0"/>
              <w:bottom w:val="single" w:color="000000" w:sz="4" w:space="0"/>
              <w:right w:val="single" w:color="auto" w:sz="4" w:space="0"/>
            </w:tcBorders>
            <w:vAlign w:val="center"/>
          </w:tcPr>
          <w:p w14:paraId="43C97BF9">
            <w:pPr>
              <w:spacing w:line="380" w:lineRule="exact"/>
              <w:jc w:val="center"/>
              <w:rPr>
                <w:rFonts w:ascii="方正小标宋简体" w:hAnsi="宋体" w:eastAsia="方正小标宋简体" w:cs="宋体"/>
                <w:kern w:val="0"/>
                <w:sz w:val="26"/>
                <w:szCs w:val="26"/>
              </w:rPr>
            </w:pPr>
            <w:r>
              <w:rPr>
                <w:rFonts w:hint="eastAsia" w:ascii="方正小标宋简体" w:hAnsi="宋体" w:eastAsia="方正小标宋简体" w:cs="宋体"/>
                <w:kern w:val="0"/>
                <w:sz w:val="26"/>
                <w:szCs w:val="26"/>
              </w:rPr>
              <w:t>教龄</w:t>
            </w:r>
          </w:p>
          <w:p w14:paraId="67A95EA2">
            <w:pPr>
              <w:spacing w:line="380" w:lineRule="exact"/>
              <w:jc w:val="center"/>
              <w:rPr>
                <w:rFonts w:ascii="方正小标宋简体" w:hAnsi="宋体" w:eastAsia="方正小标宋简体" w:cs="宋体"/>
                <w:kern w:val="0"/>
                <w:sz w:val="26"/>
                <w:szCs w:val="26"/>
              </w:rPr>
            </w:pPr>
            <w:r>
              <w:rPr>
                <w:rFonts w:hint="eastAsia" w:ascii="方正小标宋简体" w:hAnsi="宋体" w:eastAsia="方正小标宋简体" w:cs="宋体"/>
                <w:kern w:val="0"/>
                <w:sz w:val="26"/>
                <w:szCs w:val="26"/>
              </w:rPr>
              <w:t>（35分）</w:t>
            </w:r>
          </w:p>
        </w:tc>
        <w:tc>
          <w:tcPr>
            <w:tcW w:w="6662" w:type="dxa"/>
            <w:vMerge w:val="restart"/>
            <w:tcBorders>
              <w:top w:val="nil"/>
              <w:left w:val="nil"/>
              <w:bottom w:val="single" w:color="auto" w:sz="4" w:space="0"/>
              <w:right w:val="single" w:color="auto" w:sz="4" w:space="0"/>
            </w:tcBorders>
            <w:vAlign w:val="center"/>
          </w:tcPr>
          <w:p w14:paraId="5F17F040">
            <w:pPr>
              <w:spacing w:line="380" w:lineRule="exact"/>
              <w:rPr>
                <w:rFonts w:ascii="仿宋_GB2312" w:hAnsi="宋体" w:eastAsia="仿宋_GB2312" w:cs="宋体"/>
                <w:kern w:val="0"/>
                <w:sz w:val="26"/>
                <w:szCs w:val="26"/>
              </w:rPr>
            </w:pPr>
            <w:r>
              <w:rPr>
                <w:rFonts w:hint="eastAsia" w:ascii="仿宋_GB2312" w:hAnsi="宋体" w:eastAsia="仿宋_GB2312" w:cs="宋体"/>
                <w:kern w:val="0"/>
                <w:sz w:val="26"/>
                <w:szCs w:val="26"/>
              </w:rPr>
              <w:t>教龄每满1周年的计5分，满分35分。脱产学习和停薪留职期间不计算教龄年限（经区政府批准，到本区民办学校任教的除外）。</w:t>
            </w:r>
          </w:p>
        </w:tc>
      </w:tr>
      <w:tr w14:paraId="2D38B552">
        <w:tblPrEx>
          <w:tblCellMar>
            <w:top w:w="0" w:type="dxa"/>
            <w:left w:w="108" w:type="dxa"/>
            <w:bottom w:w="0" w:type="dxa"/>
            <w:right w:w="108" w:type="dxa"/>
          </w:tblCellMar>
        </w:tblPrEx>
        <w:trPr>
          <w:trHeight w:val="624" w:hRule="atLeast"/>
          <w:jc w:val="center"/>
        </w:trPr>
        <w:tc>
          <w:tcPr>
            <w:tcW w:w="1750" w:type="dxa"/>
            <w:vMerge w:val="continue"/>
            <w:tcBorders>
              <w:top w:val="nil"/>
              <w:left w:val="single" w:color="auto" w:sz="4" w:space="0"/>
              <w:bottom w:val="single" w:color="000000" w:sz="4" w:space="0"/>
              <w:right w:val="single" w:color="auto" w:sz="4" w:space="0"/>
            </w:tcBorders>
            <w:vAlign w:val="center"/>
          </w:tcPr>
          <w:p w14:paraId="39B204D2">
            <w:pPr>
              <w:jc w:val="left"/>
              <w:rPr>
                <w:rFonts w:ascii="方正小标宋简体" w:hAnsi="宋体" w:eastAsia="方正小标宋简体" w:cs="宋体"/>
                <w:kern w:val="0"/>
                <w:sz w:val="26"/>
                <w:szCs w:val="26"/>
              </w:rPr>
            </w:pPr>
          </w:p>
        </w:tc>
        <w:tc>
          <w:tcPr>
            <w:tcW w:w="6662" w:type="dxa"/>
            <w:vMerge w:val="continue"/>
            <w:tcBorders>
              <w:top w:val="nil"/>
              <w:left w:val="nil"/>
              <w:bottom w:val="single" w:color="auto" w:sz="4" w:space="0"/>
              <w:right w:val="single" w:color="auto" w:sz="4" w:space="0"/>
            </w:tcBorders>
            <w:vAlign w:val="center"/>
          </w:tcPr>
          <w:p w14:paraId="2A28B36A">
            <w:pPr>
              <w:rPr>
                <w:rFonts w:ascii="仿宋_GB2312" w:hAnsi="宋体" w:eastAsia="仿宋_GB2312" w:cs="宋体"/>
                <w:kern w:val="0"/>
                <w:sz w:val="26"/>
                <w:szCs w:val="26"/>
              </w:rPr>
            </w:pPr>
          </w:p>
        </w:tc>
      </w:tr>
      <w:tr w14:paraId="7A7BA899">
        <w:tblPrEx>
          <w:tblCellMar>
            <w:top w:w="0" w:type="dxa"/>
            <w:left w:w="108" w:type="dxa"/>
            <w:bottom w:w="0" w:type="dxa"/>
            <w:right w:w="108" w:type="dxa"/>
          </w:tblCellMar>
        </w:tblPrEx>
        <w:trPr>
          <w:trHeight w:val="2347" w:hRule="atLeast"/>
          <w:jc w:val="center"/>
        </w:trPr>
        <w:tc>
          <w:tcPr>
            <w:tcW w:w="1750" w:type="dxa"/>
            <w:vMerge w:val="restart"/>
            <w:tcBorders>
              <w:top w:val="nil"/>
              <w:left w:val="single" w:color="auto" w:sz="4" w:space="0"/>
              <w:bottom w:val="single" w:color="000000" w:sz="4" w:space="0"/>
              <w:right w:val="single" w:color="auto" w:sz="4" w:space="0"/>
            </w:tcBorders>
            <w:vAlign w:val="center"/>
          </w:tcPr>
          <w:p w14:paraId="2AE58A05">
            <w:pPr>
              <w:spacing w:line="380" w:lineRule="exact"/>
              <w:jc w:val="center"/>
              <w:rPr>
                <w:rFonts w:ascii="方正小标宋简体" w:hAnsi="宋体" w:eastAsia="方正小标宋简体" w:cs="宋体"/>
                <w:kern w:val="0"/>
                <w:sz w:val="26"/>
                <w:szCs w:val="26"/>
              </w:rPr>
            </w:pPr>
            <w:r>
              <w:rPr>
                <w:rFonts w:hint="eastAsia" w:ascii="方正小标宋简体" w:hAnsi="宋体" w:eastAsia="方正小标宋简体" w:cs="宋体"/>
                <w:kern w:val="0"/>
                <w:sz w:val="26"/>
                <w:szCs w:val="26"/>
              </w:rPr>
              <w:t>评优评模</w:t>
            </w:r>
          </w:p>
          <w:p w14:paraId="042E3234">
            <w:pPr>
              <w:spacing w:line="380" w:lineRule="exact"/>
              <w:jc w:val="center"/>
              <w:rPr>
                <w:rFonts w:ascii="方正小标宋简体" w:hAnsi="宋体" w:eastAsia="方正小标宋简体" w:cs="宋体"/>
                <w:kern w:val="0"/>
                <w:sz w:val="26"/>
                <w:szCs w:val="26"/>
              </w:rPr>
            </w:pPr>
            <w:r>
              <w:rPr>
                <w:rFonts w:hint="eastAsia" w:ascii="方正小标宋简体" w:hAnsi="宋体" w:eastAsia="方正小标宋简体" w:cs="宋体"/>
                <w:kern w:val="0"/>
                <w:sz w:val="26"/>
                <w:szCs w:val="26"/>
              </w:rPr>
              <w:t>（20分）</w:t>
            </w:r>
          </w:p>
        </w:tc>
        <w:tc>
          <w:tcPr>
            <w:tcW w:w="6662" w:type="dxa"/>
            <w:vMerge w:val="restart"/>
            <w:tcBorders>
              <w:top w:val="nil"/>
              <w:left w:val="nil"/>
              <w:bottom w:val="single" w:color="auto" w:sz="4" w:space="0"/>
              <w:right w:val="single" w:color="auto" w:sz="4" w:space="0"/>
            </w:tcBorders>
            <w:vAlign w:val="center"/>
          </w:tcPr>
          <w:p w14:paraId="33611274">
            <w:pPr>
              <w:spacing w:line="380" w:lineRule="exact"/>
              <w:rPr>
                <w:rFonts w:ascii="仿宋_GB2312" w:hAnsi="宋体" w:eastAsia="仿宋_GB2312" w:cs="宋体"/>
                <w:kern w:val="0"/>
                <w:sz w:val="26"/>
                <w:szCs w:val="26"/>
              </w:rPr>
            </w:pPr>
            <w:r>
              <w:rPr>
                <w:rFonts w:hint="eastAsia" w:ascii="仿宋_GB2312" w:hAnsi="宋体" w:eastAsia="仿宋_GB2312" w:cs="宋体"/>
                <w:kern w:val="0"/>
                <w:sz w:val="26"/>
                <w:szCs w:val="26"/>
              </w:rPr>
              <w:t>获得优秀教师、优秀班主任、师德先进个人、优秀教育工作者、劳动模范、十佳教师、十佳班主任、十佳师德标兵称号的，国家级10分、省级8分、市（地）级5分、区级3分。（区级劳动模范、十佳教师、十佳班主任、十佳师德标兵比照市（地）级计分；同一年度按最高级别计算，不同年度可累计积分，满分20分；有效时间为202</w:t>
            </w:r>
            <w:r>
              <w:rPr>
                <w:rFonts w:hint="eastAsia" w:ascii="仿宋_GB2312" w:hAnsi="宋体" w:eastAsia="仿宋_GB2312" w:cs="宋体"/>
                <w:kern w:val="0"/>
                <w:sz w:val="26"/>
                <w:szCs w:val="26"/>
                <w:lang w:val="en-US" w:eastAsia="zh-CN"/>
              </w:rPr>
              <w:t>2</w:t>
            </w:r>
            <w:r>
              <w:rPr>
                <w:rFonts w:hint="eastAsia" w:ascii="仿宋_GB2312" w:hAnsi="宋体" w:eastAsia="仿宋_GB2312" w:cs="宋体"/>
                <w:kern w:val="0"/>
                <w:sz w:val="26"/>
                <w:szCs w:val="26"/>
              </w:rPr>
              <w:t>至202</w:t>
            </w:r>
            <w:r>
              <w:rPr>
                <w:rFonts w:hint="eastAsia" w:ascii="仿宋_GB2312" w:hAnsi="宋体" w:eastAsia="仿宋_GB2312" w:cs="宋体"/>
                <w:kern w:val="0"/>
                <w:sz w:val="26"/>
                <w:szCs w:val="26"/>
                <w:lang w:val="en-US" w:eastAsia="zh-CN"/>
              </w:rPr>
              <w:t>3</w:t>
            </w:r>
            <w:r>
              <w:rPr>
                <w:rFonts w:hint="eastAsia" w:ascii="仿宋_GB2312" w:hAnsi="宋体" w:eastAsia="仿宋_GB2312" w:cs="宋体"/>
                <w:kern w:val="0"/>
                <w:sz w:val="26"/>
                <w:szCs w:val="26"/>
              </w:rPr>
              <w:t>、202</w:t>
            </w:r>
            <w:r>
              <w:rPr>
                <w:rFonts w:hint="eastAsia" w:ascii="仿宋_GB2312" w:hAnsi="宋体" w:eastAsia="仿宋_GB2312" w:cs="宋体"/>
                <w:kern w:val="0"/>
                <w:sz w:val="26"/>
                <w:szCs w:val="26"/>
                <w:lang w:val="en-US" w:eastAsia="zh-CN"/>
              </w:rPr>
              <w:t>3</w:t>
            </w:r>
            <w:r>
              <w:rPr>
                <w:rFonts w:hint="eastAsia" w:ascii="仿宋_GB2312" w:hAnsi="宋体" w:eastAsia="仿宋_GB2312" w:cs="宋体"/>
                <w:kern w:val="0"/>
                <w:sz w:val="26"/>
                <w:szCs w:val="26"/>
              </w:rPr>
              <w:t>至202</w:t>
            </w:r>
            <w:r>
              <w:rPr>
                <w:rFonts w:hint="eastAsia" w:ascii="仿宋_GB2312" w:hAnsi="宋体" w:eastAsia="仿宋_GB2312" w:cs="宋体"/>
                <w:kern w:val="0"/>
                <w:sz w:val="26"/>
                <w:szCs w:val="26"/>
                <w:lang w:val="en-US" w:eastAsia="zh-CN"/>
              </w:rPr>
              <w:t>4</w:t>
            </w:r>
            <w:r>
              <w:rPr>
                <w:rFonts w:hint="eastAsia" w:ascii="仿宋_GB2312" w:hAnsi="宋体" w:eastAsia="仿宋_GB2312" w:cs="宋体"/>
                <w:kern w:val="0"/>
                <w:sz w:val="26"/>
                <w:szCs w:val="26"/>
              </w:rPr>
              <w:t>、202</w:t>
            </w:r>
            <w:r>
              <w:rPr>
                <w:rFonts w:hint="eastAsia" w:ascii="仿宋_GB2312" w:hAnsi="宋体" w:eastAsia="仿宋_GB2312" w:cs="宋体"/>
                <w:kern w:val="0"/>
                <w:sz w:val="26"/>
                <w:szCs w:val="26"/>
                <w:lang w:val="en-US" w:eastAsia="zh-CN"/>
              </w:rPr>
              <w:t>4</w:t>
            </w:r>
            <w:r>
              <w:rPr>
                <w:rFonts w:hint="eastAsia" w:ascii="仿宋_GB2312" w:hAnsi="宋体" w:eastAsia="仿宋_GB2312" w:cs="宋体"/>
                <w:kern w:val="0"/>
                <w:sz w:val="26"/>
                <w:szCs w:val="26"/>
              </w:rPr>
              <w:t>至202</w:t>
            </w:r>
            <w:r>
              <w:rPr>
                <w:rFonts w:hint="eastAsia" w:ascii="仿宋_GB2312" w:hAnsi="宋体" w:eastAsia="仿宋_GB2312" w:cs="宋体"/>
                <w:kern w:val="0"/>
                <w:sz w:val="26"/>
                <w:szCs w:val="26"/>
                <w:lang w:val="en-US" w:eastAsia="zh-CN"/>
              </w:rPr>
              <w:t>5</w:t>
            </w:r>
            <w:r>
              <w:rPr>
                <w:rFonts w:hint="eastAsia" w:ascii="仿宋_GB2312" w:hAnsi="宋体" w:eastAsia="仿宋_GB2312" w:cs="宋体"/>
                <w:kern w:val="0"/>
                <w:sz w:val="26"/>
                <w:szCs w:val="26"/>
              </w:rPr>
              <w:t>三个学年度）</w:t>
            </w:r>
          </w:p>
        </w:tc>
      </w:tr>
      <w:tr w14:paraId="579949AB">
        <w:tblPrEx>
          <w:tblCellMar>
            <w:top w:w="0" w:type="dxa"/>
            <w:left w:w="108" w:type="dxa"/>
            <w:bottom w:w="0" w:type="dxa"/>
            <w:right w:w="108" w:type="dxa"/>
          </w:tblCellMar>
        </w:tblPrEx>
        <w:trPr>
          <w:trHeight w:val="624" w:hRule="atLeast"/>
          <w:jc w:val="center"/>
        </w:trPr>
        <w:tc>
          <w:tcPr>
            <w:tcW w:w="1750" w:type="dxa"/>
            <w:vMerge w:val="continue"/>
            <w:tcBorders>
              <w:top w:val="nil"/>
              <w:left w:val="single" w:color="auto" w:sz="4" w:space="0"/>
              <w:bottom w:val="single" w:color="000000" w:sz="4" w:space="0"/>
              <w:right w:val="single" w:color="auto" w:sz="4" w:space="0"/>
            </w:tcBorders>
            <w:vAlign w:val="center"/>
          </w:tcPr>
          <w:p w14:paraId="110ECAC2">
            <w:pPr>
              <w:jc w:val="left"/>
              <w:rPr>
                <w:rFonts w:ascii="方正小标宋简体" w:hAnsi="宋体" w:eastAsia="方正小标宋简体" w:cs="宋体"/>
                <w:kern w:val="0"/>
                <w:sz w:val="26"/>
                <w:szCs w:val="26"/>
              </w:rPr>
            </w:pPr>
          </w:p>
        </w:tc>
        <w:tc>
          <w:tcPr>
            <w:tcW w:w="6662" w:type="dxa"/>
            <w:vMerge w:val="continue"/>
            <w:tcBorders>
              <w:top w:val="nil"/>
              <w:left w:val="nil"/>
              <w:bottom w:val="single" w:color="auto" w:sz="4" w:space="0"/>
              <w:right w:val="single" w:color="auto" w:sz="4" w:space="0"/>
            </w:tcBorders>
            <w:vAlign w:val="center"/>
          </w:tcPr>
          <w:p w14:paraId="3560FB52">
            <w:pPr>
              <w:rPr>
                <w:rFonts w:ascii="仿宋_GB2312" w:hAnsi="宋体" w:eastAsia="仿宋_GB2312" w:cs="宋体"/>
                <w:kern w:val="0"/>
                <w:sz w:val="26"/>
                <w:szCs w:val="26"/>
              </w:rPr>
            </w:pPr>
          </w:p>
        </w:tc>
      </w:tr>
      <w:tr w14:paraId="45D213FD">
        <w:tblPrEx>
          <w:tblCellMar>
            <w:top w:w="0" w:type="dxa"/>
            <w:left w:w="108" w:type="dxa"/>
            <w:bottom w:w="0" w:type="dxa"/>
            <w:right w:w="108" w:type="dxa"/>
          </w:tblCellMar>
        </w:tblPrEx>
        <w:trPr>
          <w:trHeight w:val="997" w:hRule="atLeast"/>
          <w:jc w:val="center"/>
        </w:trPr>
        <w:tc>
          <w:tcPr>
            <w:tcW w:w="1750" w:type="dxa"/>
            <w:tcBorders>
              <w:top w:val="nil"/>
              <w:left w:val="single" w:color="auto" w:sz="4" w:space="0"/>
              <w:bottom w:val="single" w:color="000000" w:sz="4" w:space="0"/>
              <w:right w:val="single" w:color="auto" w:sz="4" w:space="0"/>
            </w:tcBorders>
            <w:vAlign w:val="center"/>
          </w:tcPr>
          <w:p w14:paraId="6FA2B732">
            <w:pPr>
              <w:spacing w:line="380" w:lineRule="exact"/>
              <w:jc w:val="center"/>
              <w:rPr>
                <w:rFonts w:ascii="方正小标宋简体" w:hAnsi="宋体" w:eastAsia="方正小标宋简体" w:cs="宋体"/>
                <w:kern w:val="0"/>
                <w:sz w:val="26"/>
                <w:szCs w:val="26"/>
              </w:rPr>
            </w:pPr>
            <w:r>
              <w:rPr>
                <w:rFonts w:hint="eastAsia" w:ascii="方正小标宋简体" w:hAnsi="宋体" w:eastAsia="方正小标宋简体" w:cs="宋体"/>
                <w:kern w:val="0"/>
                <w:sz w:val="26"/>
                <w:szCs w:val="26"/>
              </w:rPr>
              <w:t>教育教学</w:t>
            </w:r>
            <w:r>
              <w:rPr>
                <w:rFonts w:hint="eastAsia" w:ascii="方正小标宋简体" w:hAnsi="宋体" w:eastAsia="方正小标宋简体" w:cs="宋体"/>
                <w:kern w:val="0"/>
                <w:sz w:val="26"/>
                <w:szCs w:val="26"/>
              </w:rPr>
              <w:br w:type="textWrapping"/>
            </w:r>
            <w:r>
              <w:rPr>
                <w:rFonts w:hint="eastAsia" w:ascii="方正小标宋简体" w:hAnsi="宋体" w:eastAsia="方正小标宋简体" w:cs="宋体"/>
                <w:kern w:val="0"/>
                <w:sz w:val="26"/>
                <w:szCs w:val="26"/>
              </w:rPr>
              <w:t>综合业绩</w:t>
            </w:r>
            <w:r>
              <w:rPr>
                <w:rFonts w:hint="eastAsia" w:ascii="方正小标宋简体" w:hAnsi="宋体" w:eastAsia="方正小标宋简体" w:cs="宋体"/>
                <w:kern w:val="0"/>
                <w:sz w:val="26"/>
                <w:szCs w:val="26"/>
              </w:rPr>
              <w:br w:type="textWrapping"/>
            </w:r>
            <w:r>
              <w:rPr>
                <w:rFonts w:hint="eastAsia" w:ascii="方正小标宋简体" w:hAnsi="宋体" w:eastAsia="方正小标宋简体" w:cs="宋体"/>
                <w:kern w:val="0"/>
                <w:sz w:val="26"/>
                <w:szCs w:val="26"/>
              </w:rPr>
              <w:t>（45分）</w:t>
            </w:r>
          </w:p>
        </w:tc>
        <w:tc>
          <w:tcPr>
            <w:tcW w:w="6662" w:type="dxa"/>
            <w:tcBorders>
              <w:top w:val="nil"/>
              <w:left w:val="nil"/>
              <w:bottom w:val="single" w:color="auto" w:sz="4" w:space="0"/>
              <w:right w:val="single" w:color="auto" w:sz="4" w:space="0"/>
            </w:tcBorders>
            <w:vAlign w:val="center"/>
          </w:tcPr>
          <w:p w14:paraId="0366D4E3">
            <w:pPr>
              <w:spacing w:line="380" w:lineRule="exact"/>
              <w:rPr>
                <w:rFonts w:ascii="仿宋_GB2312" w:hAnsi="宋体" w:eastAsia="仿宋_GB2312" w:cs="宋体"/>
                <w:kern w:val="0"/>
                <w:sz w:val="26"/>
                <w:szCs w:val="26"/>
              </w:rPr>
            </w:pPr>
            <w:r>
              <w:rPr>
                <w:rFonts w:hint="eastAsia" w:ascii="仿宋_GB2312" w:hAnsi="宋体" w:eastAsia="仿宋_GB2312" w:cs="宋体"/>
                <w:kern w:val="0"/>
                <w:sz w:val="26"/>
                <w:szCs w:val="26"/>
              </w:rPr>
              <w:t>以202</w:t>
            </w:r>
            <w:r>
              <w:rPr>
                <w:rFonts w:hint="eastAsia" w:ascii="仿宋_GB2312" w:hAnsi="宋体" w:eastAsia="仿宋_GB2312" w:cs="宋体"/>
                <w:kern w:val="0"/>
                <w:sz w:val="26"/>
                <w:szCs w:val="26"/>
                <w:lang w:val="en-US" w:eastAsia="zh-CN"/>
              </w:rPr>
              <w:t>2</w:t>
            </w:r>
            <w:r>
              <w:rPr>
                <w:rFonts w:hint="eastAsia" w:ascii="仿宋_GB2312" w:hAnsi="宋体" w:eastAsia="仿宋_GB2312" w:cs="宋体"/>
                <w:kern w:val="0"/>
                <w:sz w:val="26"/>
                <w:szCs w:val="26"/>
              </w:rPr>
              <w:t>至202</w:t>
            </w:r>
            <w:r>
              <w:rPr>
                <w:rFonts w:hint="eastAsia" w:ascii="仿宋_GB2312" w:hAnsi="宋体" w:eastAsia="仿宋_GB2312" w:cs="宋体"/>
                <w:kern w:val="0"/>
                <w:sz w:val="26"/>
                <w:szCs w:val="26"/>
                <w:lang w:val="en-US" w:eastAsia="zh-CN"/>
              </w:rPr>
              <w:t>3</w:t>
            </w:r>
            <w:r>
              <w:rPr>
                <w:rFonts w:hint="eastAsia" w:ascii="仿宋_GB2312" w:hAnsi="宋体" w:eastAsia="仿宋_GB2312" w:cs="宋体"/>
                <w:kern w:val="0"/>
                <w:sz w:val="26"/>
                <w:szCs w:val="26"/>
              </w:rPr>
              <w:t>、202</w:t>
            </w:r>
            <w:r>
              <w:rPr>
                <w:rFonts w:hint="eastAsia" w:ascii="仿宋_GB2312" w:hAnsi="宋体" w:eastAsia="仿宋_GB2312" w:cs="宋体"/>
                <w:kern w:val="0"/>
                <w:sz w:val="26"/>
                <w:szCs w:val="26"/>
                <w:lang w:val="en-US" w:eastAsia="zh-CN"/>
              </w:rPr>
              <w:t>3</w:t>
            </w:r>
            <w:r>
              <w:rPr>
                <w:rFonts w:hint="eastAsia" w:ascii="仿宋_GB2312" w:hAnsi="宋体" w:eastAsia="仿宋_GB2312" w:cs="宋体"/>
                <w:kern w:val="0"/>
                <w:sz w:val="26"/>
                <w:szCs w:val="26"/>
              </w:rPr>
              <w:t>至202</w:t>
            </w:r>
            <w:r>
              <w:rPr>
                <w:rFonts w:hint="eastAsia" w:ascii="仿宋_GB2312" w:hAnsi="宋体" w:eastAsia="仿宋_GB2312" w:cs="宋体"/>
                <w:kern w:val="0"/>
                <w:sz w:val="26"/>
                <w:szCs w:val="26"/>
                <w:lang w:val="en-US" w:eastAsia="zh-CN"/>
              </w:rPr>
              <w:t>4</w:t>
            </w:r>
            <w:r>
              <w:rPr>
                <w:rFonts w:hint="eastAsia" w:ascii="仿宋_GB2312" w:hAnsi="宋体" w:eastAsia="仿宋_GB2312" w:cs="宋体"/>
                <w:kern w:val="0"/>
                <w:sz w:val="26"/>
                <w:szCs w:val="26"/>
              </w:rPr>
              <w:t>、202</w:t>
            </w:r>
            <w:r>
              <w:rPr>
                <w:rFonts w:hint="eastAsia" w:ascii="仿宋_GB2312" w:hAnsi="宋体" w:eastAsia="仿宋_GB2312" w:cs="宋体"/>
                <w:kern w:val="0"/>
                <w:sz w:val="26"/>
                <w:szCs w:val="26"/>
                <w:lang w:val="en-US" w:eastAsia="zh-CN"/>
              </w:rPr>
              <w:t>4</w:t>
            </w:r>
            <w:r>
              <w:rPr>
                <w:rFonts w:hint="eastAsia" w:ascii="仿宋_GB2312" w:hAnsi="宋体" w:eastAsia="仿宋_GB2312" w:cs="宋体"/>
                <w:kern w:val="0"/>
                <w:sz w:val="26"/>
                <w:szCs w:val="26"/>
              </w:rPr>
              <w:t>至202</w:t>
            </w:r>
            <w:r>
              <w:rPr>
                <w:rFonts w:hint="eastAsia" w:ascii="仿宋_GB2312" w:hAnsi="宋体" w:eastAsia="仿宋_GB2312" w:cs="宋体"/>
                <w:kern w:val="0"/>
                <w:sz w:val="26"/>
                <w:szCs w:val="26"/>
                <w:lang w:val="en-US" w:eastAsia="zh-CN"/>
              </w:rPr>
              <w:t>5</w:t>
            </w:r>
            <w:r>
              <w:rPr>
                <w:rFonts w:hint="eastAsia" w:ascii="仿宋_GB2312" w:hAnsi="宋体" w:eastAsia="仿宋_GB2312" w:cs="宋体"/>
                <w:kern w:val="0"/>
                <w:sz w:val="26"/>
                <w:szCs w:val="26"/>
              </w:rPr>
              <w:t>连续三个学年度的教育教学业绩档次为积分依据。各学年各档次人员评分标准分别为：一档15分，二档10分，三档5分，四档2分。</w:t>
            </w:r>
          </w:p>
        </w:tc>
      </w:tr>
    </w:tbl>
    <w:p w14:paraId="11E74603">
      <w:pPr>
        <w:spacing w:line="500" w:lineRule="exact"/>
        <w:ind w:firstLine="640" w:firstLineChars="200"/>
        <w:rPr>
          <w:rFonts w:ascii="黑体" w:hAnsi="黑体" w:eastAsia="黑体"/>
          <w:sz w:val="32"/>
          <w:szCs w:val="32"/>
        </w:rPr>
      </w:pPr>
      <w:r>
        <w:rPr>
          <w:rFonts w:hint="eastAsia" w:ascii="黑体" w:hAnsi="黑体" w:eastAsia="黑体"/>
          <w:sz w:val="32"/>
          <w:szCs w:val="32"/>
        </w:rPr>
        <w:t>三、工作要求</w:t>
      </w:r>
    </w:p>
    <w:p w14:paraId="1189B20A">
      <w:pPr>
        <w:ind w:firstLine="640" w:firstLineChars="200"/>
        <w:rPr>
          <w:rFonts w:ascii="仿宋_GB2312" w:eastAsia="仿宋_GB2312"/>
          <w:sz w:val="32"/>
          <w:szCs w:val="32"/>
        </w:rPr>
      </w:pPr>
      <w:r>
        <w:rPr>
          <w:rFonts w:hint="eastAsia" w:ascii="仿宋_GB2312" w:eastAsia="仿宋_GB2312"/>
          <w:sz w:val="32"/>
          <w:szCs w:val="32"/>
        </w:rPr>
        <w:t>1.各学校校长是本次中小学教师选调报名及积分审核的第一责任人，务必本着对组织负责任的态度，组织做好报名及积分审核工作；</w:t>
      </w:r>
    </w:p>
    <w:p w14:paraId="09268797">
      <w:pPr>
        <w:ind w:firstLine="640" w:firstLineChars="200"/>
        <w:rPr>
          <w:rFonts w:ascii="仿宋_GB2312" w:eastAsia="仿宋_GB2312"/>
          <w:sz w:val="32"/>
          <w:szCs w:val="32"/>
        </w:rPr>
      </w:pPr>
      <w:r>
        <w:rPr>
          <w:rFonts w:hint="eastAsia" w:ascii="仿宋_GB2312" w:eastAsia="仿宋_GB2312"/>
          <w:sz w:val="32"/>
          <w:szCs w:val="32"/>
        </w:rPr>
        <w:t>2.报考教师如提供虚假材料，一经查实，取消选调资格，本年度“师德考核”及“年度考核”均定为</w:t>
      </w:r>
      <w:r>
        <w:rPr>
          <w:rFonts w:hint="eastAsia" w:ascii="仿宋_GB2312" w:eastAsia="仿宋_GB2312"/>
          <w:b/>
          <w:sz w:val="32"/>
          <w:szCs w:val="32"/>
        </w:rPr>
        <w:t>“不合格”</w:t>
      </w:r>
      <w:r>
        <w:rPr>
          <w:rFonts w:hint="eastAsia" w:ascii="仿宋_GB2312" w:eastAsia="仿宋_GB2312"/>
          <w:sz w:val="32"/>
          <w:szCs w:val="32"/>
        </w:rPr>
        <w:t>、业绩评价划为</w:t>
      </w:r>
      <w:r>
        <w:rPr>
          <w:rFonts w:hint="eastAsia" w:ascii="仿宋_GB2312" w:eastAsia="仿宋_GB2312"/>
          <w:b/>
          <w:sz w:val="32"/>
          <w:szCs w:val="32"/>
        </w:rPr>
        <w:t>“四档”</w:t>
      </w:r>
      <w:r>
        <w:rPr>
          <w:rFonts w:hint="eastAsia" w:ascii="仿宋_GB2312" w:eastAsia="仿宋_GB2312"/>
          <w:sz w:val="32"/>
          <w:szCs w:val="32"/>
        </w:rPr>
        <w:t>，且五年内不得再次参加城区学校教师选调考试；</w:t>
      </w:r>
    </w:p>
    <w:p w14:paraId="1CF3EE7E">
      <w:pPr>
        <w:ind w:firstLine="640" w:firstLineChars="200"/>
        <w:rPr>
          <w:rFonts w:ascii="仿宋_GB2312" w:eastAsia="仿宋_GB2312"/>
          <w:sz w:val="32"/>
          <w:szCs w:val="32"/>
        </w:rPr>
      </w:pPr>
      <w:r>
        <w:rPr>
          <w:rFonts w:hint="eastAsia" w:ascii="仿宋_GB2312" w:eastAsia="仿宋_GB2312"/>
          <w:sz w:val="32"/>
          <w:szCs w:val="32"/>
        </w:rPr>
        <w:t>3.如因学校把关不严或协同报考教师弄虚作假，一经查实，教师个人除按第三条第2点处理外，各相关责任人还要接受党纪、政纪处分，且</w:t>
      </w:r>
      <w:r>
        <w:rPr>
          <w:rFonts w:hint="eastAsia" w:ascii="仿宋_GB2312" w:eastAsia="仿宋_GB2312"/>
          <w:sz w:val="32"/>
          <w:szCs w:val="32"/>
          <w:lang w:eastAsia="zh-CN"/>
        </w:rPr>
        <w:t>按</w:t>
      </w:r>
      <w:r>
        <w:rPr>
          <w:rFonts w:hint="eastAsia" w:ascii="仿宋_GB2312" w:eastAsia="仿宋_GB2312"/>
          <w:sz w:val="32"/>
          <w:szCs w:val="32"/>
        </w:rPr>
        <w:t>每例扣除学校下一学年度综合考评分50分（如校长调动的，带入新单位），校长离任的，则交由驻局纪检组立案调查。</w:t>
      </w:r>
    </w:p>
    <w:p w14:paraId="4474598C">
      <w:pPr>
        <w:spacing w:line="500" w:lineRule="exact"/>
        <w:ind w:firstLine="640" w:firstLineChars="200"/>
        <w:rPr>
          <w:rFonts w:ascii="黑体" w:hAnsi="黑体" w:eastAsia="黑体"/>
          <w:sz w:val="32"/>
          <w:szCs w:val="32"/>
        </w:rPr>
      </w:pPr>
      <w:r>
        <w:rPr>
          <w:rFonts w:hint="eastAsia" w:ascii="黑体" w:hAnsi="黑体" w:eastAsia="黑体"/>
          <w:sz w:val="32"/>
          <w:szCs w:val="32"/>
        </w:rPr>
        <w:t>四、其他</w:t>
      </w:r>
    </w:p>
    <w:p w14:paraId="03ADEDC8">
      <w:pPr>
        <w:ind w:firstLine="640" w:firstLineChars="200"/>
        <w:rPr>
          <w:rFonts w:ascii="仿宋_GB2312" w:eastAsia="仿宋_GB2312"/>
          <w:sz w:val="32"/>
          <w:szCs w:val="32"/>
        </w:rPr>
      </w:pPr>
      <w:r>
        <w:rPr>
          <w:rFonts w:hint="eastAsia" w:ascii="仿宋_GB2312" w:eastAsia="仿宋_GB2312"/>
          <w:sz w:val="32"/>
          <w:szCs w:val="32"/>
        </w:rPr>
        <w:t>1.报考教师若在202</w:t>
      </w:r>
      <w:r>
        <w:rPr>
          <w:rFonts w:hint="eastAsia" w:ascii="仿宋_GB2312" w:eastAsia="仿宋_GB2312"/>
          <w:sz w:val="32"/>
          <w:szCs w:val="32"/>
          <w:lang w:val="en-US" w:eastAsia="zh-CN"/>
        </w:rPr>
        <w:t>2</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学年间存在多地任教的，须由教师个人持</w:t>
      </w:r>
      <w:r>
        <w:rPr>
          <w:rFonts w:hint="eastAsia" w:ascii="黑体" w:hAnsi="黑体" w:eastAsia="黑体"/>
          <w:sz w:val="32"/>
          <w:szCs w:val="32"/>
        </w:rPr>
        <w:t>《多地任教有关情况证明》</w:t>
      </w:r>
      <w:r>
        <w:rPr>
          <w:rFonts w:hint="eastAsia" w:ascii="仿宋_GB2312" w:eastAsia="仿宋_GB2312"/>
          <w:sz w:val="32"/>
          <w:szCs w:val="32"/>
        </w:rPr>
        <w:t>（附件2）到原工作单位核查并填写202</w:t>
      </w:r>
      <w:r>
        <w:rPr>
          <w:rFonts w:hint="eastAsia" w:ascii="仿宋_GB2312" w:eastAsia="仿宋_GB2312"/>
          <w:sz w:val="32"/>
          <w:szCs w:val="32"/>
          <w:lang w:val="en-US" w:eastAsia="zh-CN"/>
        </w:rPr>
        <w:t>2</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学年评优评先及教育教学业绩档次情况，</w:t>
      </w:r>
      <w:r>
        <w:rPr>
          <w:rFonts w:hint="eastAsia" w:ascii="黑体" w:hAnsi="黑体" w:eastAsia="黑体"/>
          <w:sz w:val="32"/>
          <w:szCs w:val="32"/>
        </w:rPr>
        <w:t>且须由出具证明的学校校长或校长指定审核人签字并加盖学校公章</w:t>
      </w:r>
      <w:r>
        <w:rPr>
          <w:rFonts w:hint="eastAsia" w:ascii="仿宋_GB2312" w:eastAsia="仿宋_GB2312"/>
          <w:sz w:val="32"/>
          <w:szCs w:val="32"/>
        </w:rPr>
        <w:t>，填妥后交由编制所在学校审核并存档备查。</w:t>
      </w:r>
    </w:p>
    <w:p w14:paraId="41220FCC">
      <w:pPr>
        <w:ind w:firstLine="640" w:firstLineChars="200"/>
        <w:rPr>
          <w:rFonts w:ascii="仿宋_GB2312" w:eastAsia="仿宋_GB2312"/>
          <w:sz w:val="32"/>
          <w:szCs w:val="32"/>
        </w:rPr>
      </w:pPr>
      <w:r>
        <w:rPr>
          <w:rFonts w:hint="eastAsia" w:ascii="仿宋_GB2312" w:eastAsia="仿宋_GB2312"/>
          <w:sz w:val="32"/>
          <w:szCs w:val="32"/>
        </w:rPr>
        <w:t>2.</w:t>
      </w:r>
      <w:r>
        <w:rPr>
          <w:rFonts w:hint="eastAsia" w:ascii="仿宋_GB2312" w:hAnsi="宋体" w:eastAsia="仿宋_GB2312" w:cs="宋体"/>
          <w:sz w:val="32"/>
          <w:szCs w:val="32"/>
        </w:rPr>
        <w:t xml:space="preserve"> 《广丰区202</w:t>
      </w: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rPr>
        <w:t>年中小学教师选调考试报名表》</w:t>
      </w:r>
      <w:r>
        <w:rPr>
          <w:rFonts w:hint="eastAsia" w:ascii="仿宋_GB2312" w:eastAsia="仿宋_GB2312"/>
          <w:sz w:val="32"/>
          <w:szCs w:val="32"/>
        </w:rPr>
        <w:t>（附件3）电子版存放在</w:t>
      </w:r>
      <w:r>
        <w:rPr>
          <w:rFonts w:hint="eastAsia" w:ascii="仿宋_GB2312" w:eastAsia="仿宋_GB2312"/>
          <w:b/>
          <w:sz w:val="32"/>
          <w:szCs w:val="32"/>
        </w:rPr>
        <w:t>U</w:t>
      </w:r>
      <w:r>
        <w:rPr>
          <w:rFonts w:hint="eastAsia" w:ascii="仿宋_GB2312" w:eastAsia="仿宋_GB2312"/>
          <w:sz w:val="32"/>
          <w:szCs w:val="32"/>
        </w:rPr>
        <w:t>盘带至局人事股现场拷贝，纸质稿（一式一份）由相关人员亲笔签名后加盖学校公章交局人事股</w:t>
      </w:r>
      <w:r>
        <w:rPr>
          <w:rFonts w:hint="eastAsia" w:ascii="仿宋_GB2312" w:eastAsia="仿宋_GB2312"/>
          <w:sz w:val="32"/>
          <w:szCs w:val="32"/>
          <w:lang w:eastAsia="zh-CN"/>
        </w:rPr>
        <w:t>。</w:t>
      </w:r>
      <w:r>
        <w:rPr>
          <w:rFonts w:hint="eastAsia" w:ascii="黑体" w:hAnsi="黑体" w:eastAsia="黑体"/>
          <w:sz w:val="32"/>
          <w:szCs w:val="32"/>
        </w:rPr>
        <w:t>若《报名表》电子版与纸质稿不一致，则该校报名全部视为无效</w:t>
      </w:r>
      <w:r>
        <w:rPr>
          <w:rFonts w:hint="eastAsia" w:ascii="仿宋_GB2312" w:eastAsia="仿宋_GB2312"/>
          <w:sz w:val="32"/>
          <w:szCs w:val="32"/>
        </w:rPr>
        <w:t>。</w:t>
      </w:r>
    </w:p>
    <w:p w14:paraId="237FDB06">
      <w:pPr>
        <w:ind w:firstLine="640" w:firstLineChars="200"/>
        <w:rPr>
          <w:rFonts w:ascii="黑体" w:hAnsi="黑体" w:eastAsia="黑体"/>
          <w:sz w:val="36"/>
          <w:szCs w:val="36"/>
        </w:rPr>
      </w:pPr>
      <w:r>
        <w:rPr>
          <w:rFonts w:hint="eastAsia" w:ascii="仿宋_GB2312" w:eastAsia="仿宋_GB2312"/>
          <w:sz w:val="32"/>
          <w:szCs w:val="32"/>
        </w:rPr>
        <w:t>3.报名截止时间为202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4</w:t>
      </w:r>
      <w:r>
        <w:rPr>
          <w:rFonts w:hint="eastAsia" w:ascii="仿宋_GB2312" w:eastAsia="仿宋_GB2312"/>
          <w:sz w:val="32"/>
          <w:szCs w:val="32"/>
        </w:rPr>
        <w:t>日</w:t>
      </w:r>
      <w:r>
        <w:rPr>
          <w:rFonts w:hint="eastAsia" w:ascii="仿宋_GB2312" w:eastAsia="仿宋_GB2312"/>
          <w:sz w:val="32"/>
          <w:szCs w:val="32"/>
          <w:lang w:eastAsia="zh-CN"/>
        </w:rPr>
        <w:t>下午五点前</w:t>
      </w:r>
      <w:r>
        <w:rPr>
          <w:rFonts w:hint="eastAsia" w:ascii="仿宋_GB2312" w:eastAsia="仿宋_GB2312"/>
          <w:sz w:val="32"/>
          <w:szCs w:val="32"/>
        </w:rPr>
        <w:t>，以收取纸质稿时间为准，逾期视为该校无人报考。</w:t>
      </w:r>
    </w:p>
    <w:p w14:paraId="7621AD8F">
      <w:pPr>
        <w:shd w:val="clear" w:color="auto" w:fill="FFFFFF"/>
        <w:spacing w:line="540" w:lineRule="exact"/>
        <w:jc w:val="center"/>
        <w:rPr>
          <w:rFonts w:ascii="黑体" w:hAnsi="黑体" w:eastAsia="黑体"/>
          <w:sz w:val="44"/>
          <w:szCs w:val="44"/>
        </w:rPr>
      </w:pPr>
    </w:p>
    <w:p w14:paraId="2B851305">
      <w:pPr>
        <w:spacing w:line="500" w:lineRule="exact"/>
        <w:rPr>
          <w:rFonts w:ascii="黑体" w:hAnsi="黑体" w:eastAsia="黑体"/>
          <w:sz w:val="36"/>
          <w:szCs w:val="36"/>
        </w:rPr>
      </w:pPr>
    </w:p>
    <w:p w14:paraId="1C6C605B">
      <w:pPr>
        <w:spacing w:line="500" w:lineRule="exact"/>
        <w:rPr>
          <w:rFonts w:ascii="黑体" w:hAnsi="黑体" w:eastAsia="黑体"/>
          <w:sz w:val="36"/>
          <w:szCs w:val="36"/>
        </w:rPr>
      </w:pPr>
    </w:p>
    <w:p w14:paraId="52F8AC2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4D0C9C-97F7-459B-B7B2-2D08F2E7C8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2A6F11C-8E9F-4530-94D4-1D19B60D0B92}"/>
  </w:font>
  <w:font w:name="方正小标宋简体">
    <w:panose1 w:val="02000000000000000000"/>
    <w:charset w:val="86"/>
    <w:family w:val="auto"/>
    <w:pitch w:val="default"/>
    <w:sig w:usb0="00000001" w:usb1="08000000" w:usb2="00000000" w:usb3="00000000" w:csb0="00040000" w:csb1="00000000"/>
    <w:embedRegular r:id="rId3" w:fontKey="{8B9408A4-FD23-41A1-B296-0A5CB1AFDDBF}"/>
  </w:font>
  <w:font w:name="仿宋_GB2312">
    <w:panose1 w:val="02010609030101010101"/>
    <w:charset w:val="86"/>
    <w:family w:val="modern"/>
    <w:pitch w:val="default"/>
    <w:sig w:usb0="00000001" w:usb1="080E0000" w:usb2="00000000" w:usb3="00000000" w:csb0="00040000" w:csb1="00000000"/>
    <w:embedRegular r:id="rId4" w:fontKey="{ADE5A90E-D646-48C3-BF01-326DF77C33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82458E"/>
    <w:rsid w:val="08824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2026-07-29T14:06:00Z</dcterms:created>
  <dc:creator>Cute</dc:creator>
  <cp:lastModifiedBy>Cute</cp:lastModifiedBy>
  <dcterms:modified xsi:type="dcterms:W3CDTF">2026-07-29T14:07:26Z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B98E60774E634C5EBD9FA37A8EBA491C_11</vt:lpwstr>
  </property>
  <property fmtid="{D5CDD505-2E9C-101B-9397-08002B2CF9AE}" pid="4" name="KSOTemplateDocerSaveRecord">
    <vt:lpwstr>eyJoZGlkIjoiZmNlMTI3ZTM0YjJiOTcyZmZiZWYxZTI4Zjk5YzA4MGQiLCJ1c2VySWQiOiI0NTY5MzY1NjgifQ==</vt:lpwstr>
  </property>
</Properties>
</file>