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3BE18">
      <w:pPr>
        <w:keepNext w:val="0"/>
        <w:keepLines w:val="0"/>
        <w:pageBreakBefore w:val="0"/>
        <w:kinsoku/>
        <w:wordWrap/>
        <w:overflowPunct/>
        <w:topLinePunct w:val="0"/>
        <w:autoSpaceDE/>
        <w:autoSpaceDN/>
        <w:bidi w:val="0"/>
        <w:adjustRightInd/>
        <w:snapToGrid/>
        <w:spacing w:line="600" w:lineRule="exact"/>
        <w:ind w:leftChars="0"/>
        <w:jc w:val="left"/>
        <w:outlineLvl w:val="0"/>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eastAsia="zh-CN"/>
        </w:rPr>
        <w:t>附件</w:t>
      </w:r>
      <w:r>
        <w:rPr>
          <w:rFonts w:hint="eastAsia" w:ascii="Times New Roman" w:hAnsi="Times New Roman" w:eastAsia="黑体" w:cs="黑体"/>
          <w:color w:val="auto"/>
          <w:sz w:val="32"/>
          <w:szCs w:val="32"/>
          <w:highlight w:val="none"/>
          <w:lang w:val="en-US" w:eastAsia="zh-CN"/>
        </w:rPr>
        <w:t>2</w:t>
      </w:r>
    </w:p>
    <w:p w14:paraId="2F6382D3">
      <w:pPr>
        <w:keepNext w:val="0"/>
        <w:keepLines w:val="0"/>
        <w:pageBreakBefore w:val="0"/>
        <w:kinsoku/>
        <w:wordWrap/>
        <w:overflowPunct/>
        <w:topLinePunct w:val="0"/>
        <w:autoSpaceDE/>
        <w:autoSpaceDN/>
        <w:bidi w:val="0"/>
        <w:adjustRightInd/>
        <w:snapToGrid/>
        <w:spacing w:line="600" w:lineRule="exact"/>
        <w:ind w:leftChars="0"/>
        <w:jc w:val="left"/>
        <w:outlineLvl w:val="0"/>
        <w:rPr>
          <w:rFonts w:hint="default" w:ascii="Times New Roman" w:hAnsi="Times New Roman" w:eastAsia="黑体" w:cs="黑体"/>
          <w:color w:val="auto"/>
          <w:sz w:val="32"/>
          <w:szCs w:val="32"/>
          <w:highlight w:val="none"/>
          <w:lang w:val="en-US" w:eastAsia="zh-CN"/>
        </w:rPr>
      </w:pPr>
    </w:p>
    <w:p w14:paraId="1DF228E7">
      <w:pPr>
        <w:keepNext w:val="0"/>
        <w:keepLines w:val="0"/>
        <w:pageBreakBefore w:val="0"/>
        <w:widowControl/>
        <w:suppressLineNumbers w:val="0"/>
        <w:kinsoku/>
        <w:wordWrap/>
        <w:overflowPunct/>
        <w:topLinePunct w:val="0"/>
        <w:autoSpaceDE/>
        <w:autoSpaceDN/>
        <w:bidi w:val="0"/>
        <w:adjustRightInd/>
        <w:snapToGrid/>
        <w:spacing w:line="600" w:lineRule="exact"/>
        <w:ind w:leftChars="0"/>
        <w:jc w:val="center"/>
        <w:textAlignment w:val="cente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pPr>
      <w:bookmarkStart w:id="0" w:name="_GoBack"/>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t>2026年洛阳市中小学面向社会</w:t>
      </w:r>
    </w:p>
    <w:p w14:paraId="2A8D98A0">
      <w:pPr>
        <w:keepNext w:val="0"/>
        <w:keepLines w:val="0"/>
        <w:pageBreakBefore w:val="0"/>
        <w:widowControl/>
        <w:suppressLineNumbers w:val="0"/>
        <w:kinsoku/>
        <w:wordWrap/>
        <w:overflowPunct/>
        <w:topLinePunct w:val="0"/>
        <w:autoSpaceDE/>
        <w:autoSpaceDN/>
        <w:bidi w:val="0"/>
        <w:adjustRightInd/>
        <w:snapToGrid/>
        <w:spacing w:line="600" w:lineRule="exact"/>
        <w:ind w:leftChars="0"/>
        <w:jc w:val="center"/>
        <w:textAlignment w:val="cente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t>公开招聘教师笔试考试大纲</w:t>
      </w:r>
    </w:p>
    <w:bookmarkEnd w:id="0"/>
    <w:p w14:paraId="498850BF">
      <w:pPr>
        <w:keepNext w:val="0"/>
        <w:keepLines w:val="0"/>
        <w:pageBreakBefore w:val="0"/>
        <w:numPr>
          <w:ilvl w:val="0"/>
          <w:numId w:val="0"/>
        </w:numPr>
        <w:kinsoku/>
        <w:wordWrap/>
        <w:overflowPunct/>
        <w:topLinePunct w:val="0"/>
        <w:autoSpaceDE/>
        <w:autoSpaceDN/>
        <w:bidi w:val="0"/>
        <w:adjustRightInd/>
        <w:snapToGrid/>
        <w:spacing w:line="600" w:lineRule="exact"/>
        <w:ind w:leftChars="0"/>
        <w:rPr>
          <w:rFonts w:hint="eastAsia" w:ascii="Times New Roman" w:hAnsi="Times New Roman" w:eastAsia="黑体" w:cs="黑体"/>
          <w:color w:val="auto"/>
          <w:sz w:val="32"/>
          <w:szCs w:val="32"/>
          <w:highlight w:val="none"/>
        </w:rPr>
      </w:pPr>
    </w:p>
    <w:p w14:paraId="710EB6BD">
      <w:pPr>
        <w:keepNext w:val="0"/>
        <w:keepLines w:val="0"/>
        <w:pageBreakBefore w:val="0"/>
        <w:numPr>
          <w:ilvl w:val="0"/>
          <w:numId w:val="0"/>
        </w:numPr>
        <w:kinsoku/>
        <w:wordWrap/>
        <w:overflowPunct/>
        <w:topLinePunct w:val="0"/>
        <w:autoSpaceDE/>
        <w:autoSpaceDN/>
        <w:bidi w:val="0"/>
        <w:adjustRightInd/>
        <w:snapToGrid/>
        <w:spacing w:line="600" w:lineRule="exact"/>
        <w:ind w:leftChars="0" w:firstLine="640" w:firstLineChars="200"/>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lang w:val="en-US" w:eastAsia="zh-CN"/>
        </w:rPr>
        <w:t>一、</w:t>
      </w:r>
      <w:r>
        <w:rPr>
          <w:rFonts w:hint="eastAsia" w:ascii="Times New Roman" w:hAnsi="Times New Roman" w:eastAsia="黑体" w:cs="黑体"/>
          <w:color w:val="auto"/>
          <w:sz w:val="32"/>
          <w:szCs w:val="32"/>
          <w:highlight w:val="none"/>
        </w:rPr>
        <w:t>职业能力测验</w:t>
      </w:r>
    </w:p>
    <w:p w14:paraId="6B6819C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lef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该科目的测评内容包括数量关系、言语理解与表达、判断推理、常识判断和资料分析等相关内容，一般情况为单项选择题，题量为</w:t>
      </w:r>
      <w:r>
        <w:rPr>
          <w:rFonts w:hint="default" w:ascii="Times New Roman" w:hAnsi="Times New Roman" w:eastAsia="仿宋_GB2312" w:cs="Times New Roman"/>
          <w:color w:val="auto"/>
          <w:kern w:val="2"/>
          <w:sz w:val="32"/>
          <w:szCs w:val="32"/>
          <w:highlight w:val="none"/>
          <w:lang w:val="en-US" w:eastAsia="zh-CN" w:bidi="ar-SA"/>
        </w:rPr>
        <w:t>90</w:t>
      </w:r>
      <w:r>
        <w:rPr>
          <w:rFonts w:hint="eastAsia" w:ascii="Times New Roman" w:hAnsi="Times New Roman" w:eastAsia="仿宋_GB2312" w:cs="Times New Roman"/>
          <w:color w:val="auto"/>
          <w:kern w:val="2"/>
          <w:sz w:val="32"/>
          <w:szCs w:val="32"/>
          <w:highlight w:val="none"/>
          <w:lang w:val="en-US" w:eastAsia="zh-CN" w:bidi="ar-SA"/>
        </w:rPr>
        <w:t>题左右，答题时限</w:t>
      </w:r>
      <w:r>
        <w:rPr>
          <w:rFonts w:hint="default" w:ascii="Times New Roman" w:hAnsi="Times New Roman" w:eastAsia="仿宋_GB2312" w:cs="Times New Roman"/>
          <w:color w:val="auto"/>
          <w:kern w:val="2"/>
          <w:sz w:val="32"/>
          <w:szCs w:val="32"/>
          <w:highlight w:val="none"/>
          <w:lang w:val="en-US" w:eastAsia="zh-CN" w:bidi="ar-SA"/>
        </w:rPr>
        <w:t>90</w:t>
      </w:r>
      <w:r>
        <w:rPr>
          <w:rFonts w:hint="eastAsia" w:ascii="Times New Roman" w:hAnsi="Times New Roman" w:eastAsia="仿宋_GB2312" w:cs="Times New Roman"/>
          <w:color w:val="auto"/>
          <w:kern w:val="2"/>
          <w:sz w:val="32"/>
          <w:szCs w:val="32"/>
          <w:highlight w:val="none"/>
          <w:lang w:val="en-US" w:eastAsia="zh-CN" w:bidi="ar-SA"/>
        </w:rPr>
        <w:t>分钟，满分</w:t>
      </w:r>
      <w:r>
        <w:rPr>
          <w:rFonts w:hint="default" w:ascii="Times New Roman" w:hAnsi="Times New Roman" w:eastAsia="仿宋_GB2312" w:cs="Times New Roman"/>
          <w:color w:val="auto"/>
          <w:kern w:val="2"/>
          <w:sz w:val="32"/>
          <w:szCs w:val="32"/>
          <w:highlight w:val="none"/>
          <w:lang w:val="en-US" w:eastAsia="zh-CN" w:bidi="ar-SA"/>
        </w:rPr>
        <w:t>100</w:t>
      </w:r>
      <w:r>
        <w:rPr>
          <w:rFonts w:hint="eastAsia" w:ascii="Times New Roman" w:hAnsi="Times New Roman" w:eastAsia="仿宋_GB2312" w:cs="Times New Roman"/>
          <w:color w:val="auto"/>
          <w:kern w:val="2"/>
          <w:sz w:val="32"/>
          <w:szCs w:val="32"/>
          <w:highlight w:val="none"/>
          <w:lang w:val="en-US" w:eastAsia="zh-CN" w:bidi="ar-SA"/>
        </w:rPr>
        <w:t>分。</w:t>
      </w:r>
    </w:p>
    <w:p w14:paraId="7AC9CAAE">
      <w:pPr>
        <w:keepNext w:val="0"/>
        <w:keepLines w:val="0"/>
        <w:pageBreakBefore w:val="0"/>
        <w:numPr>
          <w:ilvl w:val="0"/>
          <w:numId w:val="0"/>
        </w:numPr>
        <w:kinsoku/>
        <w:wordWrap/>
        <w:overflowPunct/>
        <w:topLinePunct w:val="0"/>
        <w:autoSpaceDE/>
        <w:autoSpaceDN/>
        <w:bidi w:val="0"/>
        <w:adjustRightInd/>
        <w:snapToGrid/>
        <w:spacing w:line="600" w:lineRule="exact"/>
        <w:ind w:leftChars="0" w:firstLine="640" w:firstLineChars="200"/>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lang w:val="en-US" w:eastAsia="zh-CN"/>
        </w:rPr>
        <w:t>二、</w:t>
      </w:r>
      <w:r>
        <w:rPr>
          <w:rFonts w:hint="eastAsia" w:ascii="Times New Roman" w:hAnsi="Times New Roman" w:eastAsia="黑体" w:cs="黑体"/>
          <w:color w:val="auto"/>
          <w:sz w:val="32"/>
          <w:szCs w:val="32"/>
          <w:highlight w:val="none"/>
        </w:rPr>
        <w:t>教育类专业知识</w:t>
      </w:r>
    </w:p>
    <w:p w14:paraId="1A09068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Chars="0" w:right="0" w:firstLine="640" w:firstLineChars="200"/>
        <w:jc w:val="left"/>
        <w:textAlignment w:val="auto"/>
      </w:pPr>
      <w:r>
        <w:rPr>
          <w:rFonts w:hint="eastAsia" w:ascii="Times New Roman" w:hAnsi="Times New Roman" w:eastAsia="仿宋_GB2312" w:cs="Times New Roman"/>
          <w:color w:val="auto"/>
          <w:kern w:val="2"/>
          <w:sz w:val="32"/>
          <w:szCs w:val="32"/>
          <w:highlight w:val="none"/>
          <w:lang w:val="en-US" w:eastAsia="zh-CN" w:bidi="ar-SA"/>
        </w:rPr>
        <w:t>该科目主要测试应聘者是否具备从事教师职业所必需的教师职业基础知识，包括教育学基础知识与基本原理、心理学、教育心理学、课程理论、德育、教育方法、班主任工作、教师心理、教育法律法规、教师职业道德规范等。试题为客观性试题。答题时限</w:t>
      </w:r>
      <w:r>
        <w:rPr>
          <w:rFonts w:hint="default" w:ascii="Times New Roman" w:hAnsi="Times New Roman" w:eastAsia="仿宋_GB2312" w:cs="Times New Roman"/>
          <w:color w:val="auto"/>
          <w:kern w:val="2"/>
          <w:sz w:val="32"/>
          <w:szCs w:val="32"/>
          <w:highlight w:val="none"/>
          <w:lang w:val="en-US" w:eastAsia="zh-CN" w:bidi="ar-SA"/>
        </w:rPr>
        <w:t>90</w:t>
      </w:r>
      <w:r>
        <w:rPr>
          <w:rFonts w:hint="eastAsia" w:ascii="Times New Roman" w:hAnsi="Times New Roman" w:eastAsia="仿宋_GB2312" w:cs="Times New Roman"/>
          <w:color w:val="auto"/>
          <w:kern w:val="2"/>
          <w:sz w:val="32"/>
          <w:szCs w:val="32"/>
          <w:highlight w:val="none"/>
          <w:lang w:val="en-US" w:eastAsia="zh-CN" w:bidi="ar-SA"/>
        </w:rPr>
        <w:t>分钟，满分</w:t>
      </w:r>
      <w:r>
        <w:rPr>
          <w:rFonts w:hint="default" w:ascii="Times New Roman" w:hAnsi="Times New Roman" w:eastAsia="仿宋_GB2312" w:cs="Times New Roman"/>
          <w:color w:val="auto"/>
          <w:kern w:val="2"/>
          <w:sz w:val="32"/>
          <w:szCs w:val="32"/>
          <w:highlight w:val="none"/>
          <w:lang w:val="en-US" w:eastAsia="zh-CN" w:bidi="ar-SA"/>
        </w:rPr>
        <w:t>100</w:t>
      </w:r>
      <w:r>
        <w:rPr>
          <w:rFonts w:hint="eastAsia" w:ascii="Times New Roman" w:hAnsi="Times New Roman" w:eastAsia="仿宋_GB2312" w:cs="Times New Roman"/>
          <w:color w:val="auto"/>
          <w:kern w:val="2"/>
          <w:sz w:val="32"/>
          <w:szCs w:val="32"/>
          <w:highlight w:val="none"/>
          <w:lang w:val="en-US" w:eastAsia="zh-CN" w:bidi="ar-SA"/>
        </w:rPr>
        <w:t>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E13A6"/>
    <w:rsid w:val="2E1E1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2026-06-17T03:26:00Z</dcterms:created>
  <dc:creator>〰泡芙</dc:creator>
  <cp:lastModifiedBy>〰泡芙</cp:lastModifiedBy>
  <dcterms:modified xsi:type="dcterms:W3CDTF">2026-06-17T03:26:27Z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8114CC24142D4C999FD3190BFE51F537_11</vt:lpwstr>
  </property>
  <property fmtid="{D5CDD505-2E9C-101B-9397-08002B2CF9AE}" pid="4" name="KSOTemplateDocerSaveRecord">
    <vt:lpwstr>eyJoZGlkIjoiZTk3NDg0ZGFmOTg3ZjM0YzhjNTJiYTlmZjY1NjRmNWMiLCJ1c2VySWQiOiI0MzA5MjkzNzUifQ==</vt:lpwstr>
  </property>
</Properties>
</file>