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CD020B">
      <w:pPr>
        <w:spacing w:line="640" w:lineRule="exact"/>
        <w:rPr>
          <w:rFonts w:ascii="Times New Roman" w:hAnsi="Times New Roman" w:eastAsia="黑体" w:cs="Times New Roman"/>
          <w:b/>
          <w:sz w:val="32"/>
          <w:szCs w:val="32"/>
        </w:rPr>
      </w:pPr>
      <w:r>
        <w:rPr>
          <w:rFonts w:ascii="Times New Roman" w:hAnsi="Times New Roman" w:eastAsia="黑体" w:cs="Times New Roman"/>
          <w:b/>
          <w:sz w:val="32"/>
          <w:szCs w:val="32"/>
        </w:rPr>
        <w:t>附件5</w:t>
      </w:r>
    </w:p>
    <w:p w14:paraId="23417D41">
      <w:pPr>
        <w:spacing w:line="640" w:lineRule="exact"/>
        <w:jc w:val="center"/>
        <w:rPr>
          <w:rFonts w:ascii="Times New Roman" w:hAnsi="Times New Roman" w:eastAsia="方正小标宋简体" w:cs="Times New Roman"/>
          <w:b/>
          <w:sz w:val="44"/>
          <w:szCs w:val="44"/>
        </w:rPr>
      </w:pPr>
    </w:p>
    <w:p w14:paraId="6B87B543">
      <w:pPr>
        <w:spacing w:line="700" w:lineRule="exact"/>
        <w:jc w:val="center"/>
        <w:rPr>
          <w:rFonts w:ascii="Times New Roman" w:hAnsi="Times New Roman" w:eastAsia="楷体_GB2312" w:cs="Times New Roman"/>
          <w:b/>
          <w:sz w:val="32"/>
          <w:szCs w:val="32"/>
        </w:rPr>
      </w:pPr>
      <w:r>
        <w:rPr>
          <w:rFonts w:ascii="Times New Roman" w:hAnsi="Times New Roman" w:eastAsia="方正小标宋简体" w:cs="Times New Roman"/>
          <w:b/>
          <w:sz w:val="44"/>
          <w:szCs w:val="44"/>
        </w:rPr>
        <w:t>报考提示</w:t>
      </w:r>
    </w:p>
    <w:p w14:paraId="00FC1686">
      <w:pPr>
        <w:spacing w:line="560" w:lineRule="exact"/>
        <w:jc w:val="center"/>
        <w:rPr>
          <w:rFonts w:ascii="Times New Roman" w:hAnsi="Times New Roman" w:eastAsia="方正小标宋简体" w:cs="Times New Roman"/>
          <w:b/>
          <w:sz w:val="44"/>
          <w:szCs w:val="44"/>
        </w:rPr>
      </w:pPr>
    </w:p>
    <w:p w14:paraId="7ECBEBDB">
      <w:pPr>
        <w:spacing w:line="560" w:lineRule="exact"/>
        <w:ind w:firstLine="643" w:firstLineChars="200"/>
        <w:rPr>
          <w:rFonts w:ascii="Times New Roman" w:hAnsi="Times New Roman" w:eastAsia="仿宋_GB2312" w:cs="Times New Roman"/>
          <w:b/>
          <w:sz w:val="32"/>
          <w:szCs w:val="32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t>1. 2014年8月11日以后发布公告招录的乡镇公务员，以及2015届以后分配到乡镇工作的选调生，在乡镇的最低服务年限为5年（含试用期），其中通过定向考录等优惠政策录用到乡镇的最低服务年限为8年（含试用期）。</w:t>
      </w:r>
    </w:p>
    <w:p w14:paraId="61A016B2">
      <w:pPr>
        <w:adjustRightInd w:val="0"/>
        <w:snapToGrid w:val="0"/>
        <w:spacing w:line="560" w:lineRule="exact"/>
        <w:ind w:firstLine="643" w:firstLineChars="200"/>
        <w:rPr>
          <w:rFonts w:ascii="Times New Roman" w:hAnsi="Times New Roman" w:eastAsia="仿宋_GB2312" w:cs="Times New Roman"/>
          <w:b/>
          <w:sz w:val="32"/>
          <w:szCs w:val="32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t>2. 通过降低进入门槛等倾斜政策</w:t>
      </w:r>
      <w:r>
        <w:rPr>
          <w:rFonts w:ascii="Times New Roman" w:hAnsi="Times New Roman" w:eastAsia="仿宋_GB2312" w:cs="Times New Roman"/>
          <w:b/>
          <w:sz w:val="32"/>
          <w:szCs w:val="32"/>
          <w:highlight w:val="none"/>
        </w:rPr>
        <w:t>（包括降低开考比例、限定本地户籍等）</w:t>
      </w:r>
      <w:r>
        <w:rPr>
          <w:rFonts w:ascii="Times New Roman" w:hAnsi="Times New Roman" w:eastAsia="仿宋_GB2312" w:cs="Times New Roman"/>
          <w:b/>
          <w:sz w:val="32"/>
          <w:szCs w:val="32"/>
        </w:rPr>
        <w:t>录用的公务员，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lang w:val="en-US" w:eastAsia="zh-CN"/>
        </w:rPr>
        <w:t>应当在我市辖区内的艰苦边远县乡机关满规定的最低服务年限；未满最低服务年限的，不得</w:t>
      </w:r>
      <w:r>
        <w:rPr>
          <w:rFonts w:ascii="Times New Roman" w:hAnsi="Times New Roman" w:eastAsia="仿宋_GB2312" w:cs="Times New Roman"/>
          <w:b/>
          <w:sz w:val="32"/>
          <w:szCs w:val="32"/>
        </w:rPr>
        <w:t>交流（含公开遴选）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lang w:val="en-US" w:eastAsia="zh-CN"/>
        </w:rPr>
        <w:t>到我市市级机关和非艰苦边远地区的机关，也不得</w:t>
      </w:r>
      <w:r>
        <w:rPr>
          <w:rFonts w:ascii="Times New Roman" w:hAnsi="Times New Roman" w:eastAsia="仿宋_GB2312" w:cs="Times New Roman"/>
          <w:b/>
          <w:sz w:val="32"/>
          <w:szCs w:val="32"/>
        </w:rPr>
        <w:t>交流（含公开遴选）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lang w:val="en-US" w:eastAsia="zh-CN"/>
        </w:rPr>
        <w:t>到省内其他市（州）和其他省的机关（包括其中艰苦边远地区的机关）。</w:t>
      </w:r>
    </w:p>
    <w:p w14:paraId="43A4A14D">
      <w:pPr>
        <w:adjustRightInd w:val="0"/>
        <w:snapToGrid w:val="0"/>
        <w:spacing w:line="560" w:lineRule="exact"/>
        <w:ind w:firstLine="643" w:firstLineChars="200"/>
        <w:rPr>
          <w:rFonts w:ascii="Times New Roman" w:hAnsi="Times New Roman" w:eastAsia="仿宋_GB2312" w:cs="Times New Roman"/>
          <w:b/>
          <w:sz w:val="32"/>
          <w:szCs w:val="32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t>3. 通过定向招录、专项招录及特殊职位招录等录用的公务员（如：公安机关、机要系统等新招录人员，新招录基层司法所司法助理员、艰苦边远地区法官助理检察官助理，政法干警招录培养体制改革试点班学员&lt;简称“政法体改生”&gt;等），如在招考时已被告知其应在招录机关或者招考职位服务最低年限的，以及“五方面人员”（包括乡镇事业编制人员、优秀村党组织书记、到村任职过的选调生、第一书记、驻村工作队员）进班子、参加学历教育等情形明确约定有服务年限的，应严格执行有关服务年限。</w:t>
      </w:r>
    </w:p>
    <w:p w14:paraId="5E4CE427">
      <w:pPr>
        <w:spacing w:line="560" w:lineRule="exact"/>
        <w:ind w:firstLine="643" w:firstLineChars="200"/>
        <w:rPr>
          <w:rFonts w:ascii="Times New Roman" w:hAnsi="Times New Roman" w:eastAsia="仿宋_GB2312" w:cs="Times New Roman"/>
          <w:b/>
          <w:sz w:val="32"/>
          <w:szCs w:val="32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t>4. 2018年以后新录用选调生，到村任职时间未满2年的不得参加公开遴选。</w:t>
      </w:r>
    </w:p>
    <w:p w14:paraId="304762F8">
      <w:pPr>
        <w:spacing w:line="560" w:lineRule="exact"/>
        <w:ind w:firstLine="643" w:firstLineChars="200"/>
        <w:rPr>
          <w:rFonts w:ascii="Times New Roman" w:hAnsi="Times New Roman" w:eastAsia="仿宋_GB2312" w:cs="Times New Roman"/>
          <w:b/>
          <w:sz w:val="32"/>
          <w:szCs w:val="32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t>5. 乡镇党政正职任期不满3年的，报考时需报经市委组织部审批同意。</w:t>
      </w:r>
    </w:p>
    <w:p w14:paraId="4DF224A2">
      <w:pPr>
        <w:spacing w:line="560" w:lineRule="exact"/>
        <w:ind w:firstLine="643" w:firstLineChars="200"/>
        <w:rPr>
          <w:rFonts w:ascii="Times New Roman" w:hAnsi="Times New Roman" w:eastAsia="仿宋_GB2312" w:cs="Times New Roman"/>
          <w:b/>
          <w:sz w:val="32"/>
          <w:szCs w:val="32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t>6. 对存在达到服务年限前违规调离（含通过提任领导职务调离）情形的，在处理整改前资格审查不通过。</w:t>
      </w:r>
    </w:p>
    <w:p w14:paraId="6D7567C0">
      <w:pPr>
        <w:spacing w:line="560" w:lineRule="exact"/>
        <w:rPr>
          <w:rFonts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  <w:highlight w:val="none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t xml:space="preserve">    7. </w:t>
      </w:r>
      <w:r>
        <w:rPr>
          <w:rFonts w:hint="eastAsia"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基层工作经历</w:t>
      </w:r>
      <w:r>
        <w:rPr>
          <w:rFonts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时间的计算和认定要注意把握以下原则：</w:t>
      </w:r>
      <w:r>
        <w:rPr>
          <w:rFonts w:hint="eastAsia"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到基层党政机关、事业单位、国有企业工作的，基层工作经历时间一般自报到之日算起；到其他经济组织、社会组织等单位工作的，基层工作经历时间一般以劳动合同约定的起始时间算起</w:t>
      </w:r>
      <w:r>
        <w:rPr>
          <w:rFonts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。</w:t>
      </w:r>
      <w:r>
        <w:rPr>
          <w:rFonts w:hint="eastAsia"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基层工作时间可累计计算</w:t>
      </w:r>
      <w:r>
        <w:rPr>
          <w:rFonts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，</w:t>
      </w:r>
      <w:r>
        <w:rPr>
          <w:rFonts w:hint="eastAsia"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有在基层工作期间借调上级部门等情形实际未在基层工作的，</w:t>
      </w:r>
      <w:r>
        <w:rPr>
          <w:rFonts w:hint="eastAsia"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  <w:highlight w:val="none"/>
          <w:lang w:eastAsia="zh-CN"/>
        </w:rPr>
        <w:t>其未在基层工作的时间应从基层工作经历时间中扣除</w:t>
      </w:r>
      <w:r>
        <w:rPr>
          <w:rFonts w:hint="eastAsia"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  <w:highlight w:val="none"/>
        </w:rPr>
        <w:t>。</w:t>
      </w:r>
    </w:p>
    <w:p w14:paraId="4CCE6E5A">
      <w:pPr>
        <w:spacing w:line="560" w:lineRule="exact"/>
        <w:ind w:left="0" w:firstLine="649"/>
        <w:rPr>
          <w:rFonts w:ascii="Times New Roman" w:hAnsi="Times New Roman" w:eastAsia="仿宋_GB2312" w:cs="Times New Roman"/>
          <w:b/>
          <w:sz w:val="32"/>
          <w:szCs w:val="32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t>8. 计算本级机关工作时间时，县（区）、乡镇（街道）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lang w:eastAsia="zh-CN"/>
        </w:rPr>
        <w:t>两</w:t>
      </w:r>
      <w:r>
        <w:rPr>
          <w:rFonts w:ascii="Times New Roman" w:hAnsi="Times New Roman" w:eastAsia="仿宋_GB2312" w:cs="Times New Roman"/>
          <w:b/>
          <w:sz w:val="32"/>
          <w:szCs w:val="32"/>
        </w:rPr>
        <w:t>级分别算作一级机关。本级机关工作时间以正式任职时间（含试用期）计算</w:t>
      </w:r>
      <w:r>
        <w:rPr>
          <w:rFonts w:hint="eastAsia"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，在本级机关借调工作的时间不能计算在内</w:t>
      </w:r>
      <w:r>
        <w:rPr>
          <w:rFonts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。</w:t>
      </w:r>
      <w:r>
        <w:rPr>
          <w:rFonts w:ascii="Times New Roman" w:hAnsi="Times New Roman" w:eastAsia="仿宋_GB2312" w:cs="Times New Roman"/>
          <w:b/>
          <w:sz w:val="32"/>
          <w:szCs w:val="32"/>
        </w:rPr>
        <w:t>在不同地区的同一层级机关工作时间，以及前后不连续的同一层级机关工作时间，可以累计计算。</w:t>
      </w:r>
    </w:p>
    <w:p w14:paraId="75719ABB">
      <w:pPr>
        <w:spacing w:line="560" w:lineRule="exact"/>
        <w:ind w:firstLine="643" w:firstLineChars="200"/>
        <w:rPr>
          <w:rFonts w:hint="eastAsia" w:ascii="Times New Roman" w:hAnsi="Times New Roman" w:eastAsia="仿宋_GB2312" w:cs="Times New Roman"/>
          <w:b/>
          <w:sz w:val="32"/>
          <w:szCs w:val="32"/>
          <w:lang w:eastAsia="zh-CN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t>9. 本机关（单位）工作时间以正式任职时间（含试用期）计算，</w:t>
      </w:r>
      <w:r>
        <w:rPr>
          <w:rFonts w:hint="eastAsia"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在本机关</w:t>
      </w:r>
      <w:r>
        <w:rPr>
          <w:rFonts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（单位）</w:t>
      </w:r>
      <w:r>
        <w:rPr>
          <w:rFonts w:hint="eastAsia"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借调工作的时间不能计算在内</w:t>
      </w:r>
      <w:r>
        <w:rPr>
          <w:rFonts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。</w:t>
      </w:r>
      <w:r>
        <w:rPr>
          <w:rFonts w:ascii="Times New Roman" w:hAnsi="Times New Roman" w:eastAsia="仿宋_GB2312" w:cs="Times New Roman"/>
          <w:b/>
          <w:sz w:val="32"/>
          <w:szCs w:val="32"/>
        </w:rPr>
        <w:t>同一级机关中属于同一党组（党委）管理的机关（单位）之间转任，其转任前后的工作时间可累计计算本机关（单位）工作时间。</w:t>
      </w:r>
    </w:p>
    <w:p w14:paraId="50848D49">
      <w:pPr>
        <w:spacing w:line="560" w:lineRule="exact"/>
        <w:ind w:firstLine="643" w:firstLineChars="200"/>
        <w:rPr>
          <w:rFonts w:ascii="Times New Roman" w:hAnsi="Times New Roman" w:eastAsia="仿宋_GB2312" w:cs="Times New Roman"/>
          <w:b/>
          <w:sz w:val="32"/>
          <w:szCs w:val="32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t>10. “近3年年度考核”是指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lang w:val="en-US" w:eastAsia="zh-CN"/>
        </w:rPr>
        <w:t>2023</w:t>
      </w:r>
      <w:r>
        <w:rPr>
          <w:rFonts w:ascii="Times New Roman" w:hAnsi="Times New Roman" w:eastAsia="仿宋_GB2312" w:cs="Times New Roman"/>
          <w:b/>
          <w:sz w:val="32"/>
          <w:szCs w:val="32"/>
        </w:rPr>
        <w:t>、20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lang w:val="en-US" w:eastAsia="zh-CN"/>
        </w:rPr>
        <w:t>24</w:t>
      </w:r>
      <w:r>
        <w:rPr>
          <w:rFonts w:ascii="Times New Roman" w:hAnsi="Times New Roman" w:eastAsia="仿宋_GB2312" w:cs="Times New Roman"/>
          <w:b/>
          <w:sz w:val="32"/>
          <w:szCs w:val="32"/>
        </w:rPr>
        <w:t>、20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lang w:val="en-US" w:eastAsia="zh-CN"/>
        </w:rPr>
        <w:t>25</w:t>
      </w:r>
      <w:r>
        <w:rPr>
          <w:rFonts w:ascii="Times New Roman" w:hAnsi="Times New Roman" w:eastAsia="仿宋_GB2312" w:cs="Times New Roman"/>
          <w:b/>
          <w:sz w:val="32"/>
          <w:szCs w:val="32"/>
        </w:rPr>
        <w:t>年的年度考核，如截至目前尚未完成202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lang w:val="en-US" w:eastAsia="zh-CN"/>
        </w:rPr>
        <w:t>5</w:t>
      </w:r>
      <w:r>
        <w:rPr>
          <w:rFonts w:ascii="Times New Roman" w:hAnsi="Times New Roman" w:eastAsia="仿宋_GB2312" w:cs="Times New Roman"/>
          <w:b/>
          <w:sz w:val="32"/>
          <w:szCs w:val="32"/>
        </w:rPr>
        <w:t>年年度考核工作的，可暂按称职来把握，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lang w:eastAsia="zh-CN"/>
        </w:rPr>
        <w:t>最终</w:t>
      </w:r>
      <w:r>
        <w:rPr>
          <w:rFonts w:ascii="Times New Roman" w:hAnsi="Times New Roman" w:eastAsia="仿宋_GB2312" w:cs="Times New Roman"/>
          <w:b/>
          <w:sz w:val="32"/>
          <w:szCs w:val="32"/>
        </w:rPr>
        <w:t>以实际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lang w:eastAsia="zh-CN"/>
        </w:rPr>
        <w:t>考核</w:t>
      </w:r>
      <w:r>
        <w:rPr>
          <w:rFonts w:ascii="Times New Roman" w:hAnsi="Times New Roman" w:eastAsia="仿宋_GB2312" w:cs="Times New Roman"/>
          <w:b/>
          <w:sz w:val="32"/>
          <w:szCs w:val="32"/>
        </w:rPr>
        <w:t>结果为准。如进入公务员队伍时间不足3年，但已有的年度考核结果均无基本称职以下等次，年度考核符合要求。新录用公务员试用期年度考核不确定等次的，该年度考核结果符合要求。因受处分等导致年度考核不确定等次的，该年度考核结果不符合要求。</w:t>
      </w:r>
    </w:p>
    <w:p w14:paraId="62630198">
      <w:pPr>
        <w:spacing w:line="560" w:lineRule="exact"/>
        <w:ind w:firstLine="643" w:firstLineChars="200"/>
        <w:rPr>
          <w:rFonts w:ascii="Times New Roman" w:hAnsi="Times New Roman" w:eastAsia="仿宋_GB2312" w:cs="Times New Roman"/>
          <w:b/>
          <w:sz w:val="32"/>
          <w:szCs w:val="32"/>
          <w:highlight w:val="none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t>11. 非普通高等学历教育的其他国民教育形式（如自学考试、成人教育、网络教育、夜大、电大等）的毕业生取得毕业证后，符合职位要求资格条件的可以报考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highlight w:val="none"/>
          <w:lang w:eastAsia="zh-CN"/>
        </w:rPr>
        <w:t>有特殊要求的除外</w:t>
      </w:r>
      <w:r>
        <w:rPr>
          <w:rFonts w:ascii="Times New Roman" w:hAnsi="Times New Roman" w:eastAsia="仿宋_GB2312" w:cs="Times New Roman"/>
          <w:b/>
          <w:sz w:val="32"/>
          <w:szCs w:val="32"/>
          <w:highlight w:val="none"/>
        </w:rPr>
        <w:t>。</w:t>
      </w:r>
    </w:p>
    <w:p w14:paraId="62DD4453">
      <w:pPr>
        <w:spacing w:line="560" w:lineRule="exact"/>
        <w:ind w:firstLine="643" w:firstLineChars="200"/>
        <w:rPr>
          <w:rFonts w:hint="default" w:ascii="Times New Roman" w:hAnsi="Times New Roman" w:eastAsia="仿宋_GB2312" w:cs="Times New Roman"/>
          <w:b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sz w:val="32"/>
          <w:szCs w:val="32"/>
          <w:highlight w:val="none"/>
          <w:lang w:val="en-US" w:eastAsia="zh-CN"/>
        </w:rPr>
        <w:t>12.对于设置中共党员资格条件的职位，预备党员也可以报考。</w:t>
      </w:r>
    </w:p>
    <w:p w14:paraId="212EA6A3">
      <w:pPr>
        <w:spacing w:line="560" w:lineRule="exact"/>
        <w:ind w:firstLine="643" w:firstLineChars="200"/>
        <w:rPr>
          <w:rFonts w:ascii="Times New Roman" w:hAnsi="Times New Roman" w:eastAsia="仿宋_GB2312" w:cs="Times New Roman"/>
          <w:b/>
          <w:sz w:val="32"/>
          <w:szCs w:val="32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t>1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lang w:val="en-US" w:eastAsia="zh-CN"/>
        </w:rPr>
        <w:t>3</w:t>
      </w:r>
      <w:r>
        <w:rPr>
          <w:rFonts w:ascii="Times New Roman" w:hAnsi="Times New Roman" w:eastAsia="仿宋_GB2312" w:cs="Times New Roman"/>
          <w:b/>
          <w:sz w:val="32"/>
          <w:szCs w:val="32"/>
        </w:rPr>
        <w:t>. 考生不得报考低于其所任职务职级的遴选职位（如：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lang w:eastAsia="zh-CN"/>
        </w:rPr>
        <w:t>二级主任科员</w:t>
      </w:r>
      <w:r>
        <w:rPr>
          <w:rFonts w:ascii="Times New Roman" w:hAnsi="Times New Roman" w:eastAsia="仿宋_GB2312" w:cs="Times New Roman"/>
          <w:b/>
          <w:sz w:val="32"/>
          <w:szCs w:val="32"/>
        </w:rPr>
        <w:t>不得报考拟任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lang w:eastAsia="zh-CN"/>
        </w:rPr>
        <w:t>三</w:t>
      </w:r>
      <w:r>
        <w:rPr>
          <w:rFonts w:ascii="Times New Roman" w:hAnsi="Times New Roman" w:eastAsia="仿宋_GB2312" w:cs="Times New Roman"/>
          <w:b/>
          <w:sz w:val="32"/>
          <w:szCs w:val="32"/>
        </w:rPr>
        <w:t>级主任科员以下职级的职位）。</w:t>
      </w:r>
    </w:p>
    <w:p w14:paraId="3B47A663">
      <w:pPr>
        <w:spacing w:line="560" w:lineRule="exact"/>
        <w:ind w:firstLine="643" w:firstLineChars="200"/>
        <w:rPr>
          <w:rFonts w:ascii="Times New Roman" w:hAnsi="Times New Roman" w:eastAsia="仿宋_GB2312" w:cs="Times New Roman"/>
          <w:b/>
          <w:sz w:val="32"/>
          <w:szCs w:val="32"/>
        </w:rPr>
      </w:pPr>
      <w:r>
        <w:rPr>
          <w:rFonts w:ascii="Times New Roman" w:hAnsi="Times New Roman" w:eastAsia="仿宋_GB2312" w:cs="Times New Roman"/>
          <w:b/>
          <w:sz w:val="32"/>
          <w:szCs w:val="32"/>
          <w:lang w:bidi="ar-SA"/>
        </w:rPr>
        <w:t>14.</w:t>
      </w:r>
      <w:r>
        <w:rPr>
          <w:rFonts w:hint="default" w:ascii="Times New Roman" w:hAnsi="Times New Roman" w:eastAsia="仿宋_GB2312" w:cs="Times New Roman"/>
          <w:b/>
          <w:sz w:val="32"/>
          <w:szCs w:val="32"/>
          <w:lang w:bidi="ar-SA"/>
        </w:rPr>
        <w:t>公告中所指机关级别、工作</w:t>
      </w:r>
      <w:r>
        <w:rPr>
          <w:rFonts w:ascii="Times New Roman" w:hAnsi="Times New Roman" w:eastAsia="仿宋_GB2312" w:cs="Times New Roman"/>
          <w:b/>
          <w:sz w:val="32"/>
          <w:szCs w:val="32"/>
          <w:lang w:bidi="ar-SA"/>
        </w:rPr>
        <w:t>经历</w:t>
      </w:r>
      <w:r>
        <w:rPr>
          <w:rFonts w:hint="default" w:ascii="Times New Roman" w:hAnsi="Times New Roman" w:eastAsia="仿宋_GB2312" w:cs="Times New Roman"/>
          <w:b/>
          <w:sz w:val="32"/>
          <w:szCs w:val="32"/>
          <w:lang w:bidi="ar-SA"/>
        </w:rPr>
        <w:t>、学历</w:t>
      </w:r>
      <w:r>
        <w:rPr>
          <w:rFonts w:ascii="Times New Roman" w:hAnsi="Times New Roman" w:eastAsia="仿宋_GB2312" w:cs="Times New Roman"/>
          <w:b/>
          <w:sz w:val="32"/>
          <w:szCs w:val="32"/>
          <w:lang w:bidi="ar-SA"/>
        </w:rPr>
        <w:t>学位</w:t>
      </w:r>
      <w:r>
        <w:rPr>
          <w:rFonts w:hint="default" w:ascii="Times New Roman" w:hAnsi="Times New Roman" w:eastAsia="仿宋_GB2312" w:cs="Times New Roman"/>
          <w:b/>
          <w:sz w:val="32"/>
          <w:szCs w:val="32"/>
          <w:lang w:bidi="ar-SA"/>
        </w:rPr>
        <w:t>、职称</w:t>
      </w:r>
      <w:r>
        <w:rPr>
          <w:rFonts w:ascii="Times New Roman" w:hAnsi="Times New Roman" w:eastAsia="仿宋_GB2312" w:cs="Times New Roman"/>
          <w:b/>
          <w:sz w:val="32"/>
          <w:szCs w:val="32"/>
          <w:lang w:bidi="ar-SA"/>
        </w:rPr>
        <w:t>、日期</w:t>
      </w:r>
      <w:r>
        <w:rPr>
          <w:rFonts w:hint="default" w:ascii="Times New Roman" w:hAnsi="Times New Roman" w:eastAsia="仿宋_GB2312" w:cs="Times New Roman"/>
          <w:b/>
          <w:sz w:val="32"/>
          <w:szCs w:val="32"/>
          <w:lang w:bidi="ar-SA"/>
        </w:rPr>
        <w:t>等“以上”“以下”“以前”“以后”均包含本数。</w:t>
      </w:r>
    </w:p>
    <w:p w14:paraId="5A3109D1">
      <w:pPr>
        <w:spacing w:line="560" w:lineRule="exact"/>
        <w:ind w:left="0" w:firstLine="649"/>
        <w:rPr>
          <w:rFonts w:ascii="Microsoft Yahei" w:hAnsi="Microsoft Yahei"/>
          <w:b/>
          <w:bCs/>
          <w:sz w:val="18"/>
          <w:szCs w:val="18"/>
        </w:rPr>
      </w:pPr>
      <w:r>
        <w:rPr>
          <w:rFonts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本</w:t>
      </w:r>
      <w:r>
        <w:rPr>
          <w:rFonts w:hint="eastAsia"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报考</w:t>
      </w:r>
      <w:r>
        <w:rPr>
          <w:rFonts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提示</w:t>
      </w:r>
      <w:r>
        <w:rPr>
          <w:rFonts w:hint="eastAsia"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仅适用于</w:t>
      </w:r>
      <w:r>
        <w:rPr>
          <w:rFonts w:ascii="Times New Roman" w:hAnsi="Times New Roman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20</w:t>
      </w:r>
      <w:r>
        <w:rPr>
          <w:rFonts w:hint="eastAsia" w:ascii="Times New Roman" w:hAnsi="Times New Roman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  <w:lang w:val="en-US" w:eastAsia="zh-CN"/>
        </w:rPr>
        <w:t>26</w:t>
      </w:r>
      <w:r>
        <w:rPr>
          <w:rFonts w:hint="eastAsia"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年度</w:t>
      </w:r>
      <w:r>
        <w:rPr>
          <w:rFonts w:hint="eastAsia"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  <w:lang w:eastAsia="zh-CN"/>
        </w:rPr>
        <w:t>雅安市</w:t>
      </w:r>
      <w:r>
        <w:rPr>
          <w:rFonts w:hint="eastAsia"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公开遴选</w:t>
      </w:r>
      <w:r>
        <w:rPr>
          <w:rFonts w:hint="eastAsia"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  <w:lang w:eastAsia="zh-CN"/>
        </w:rPr>
        <w:t>（考调）</w:t>
      </w:r>
      <w:r>
        <w:rPr>
          <w:rFonts w:hint="eastAsia" w:ascii="仿宋_GB2312" w:eastAsia="仿宋_GB2312"/>
          <w:b/>
          <w:bCs/>
          <w:i w:val="0"/>
          <w:iCs w:val="0"/>
          <w:caps w:val="0"/>
          <w:smallCaps w:val="0"/>
          <w:vanish w:val="0"/>
          <w:spacing w:val="0"/>
          <w:sz w:val="32"/>
          <w:szCs w:val="32"/>
        </w:rPr>
        <w:t>和公开选调公务员工作。</w:t>
      </w:r>
      <w:r>
        <w:rPr>
          <w:rFonts w:ascii="Times New Roman" w:hAnsi="Times New Roman" w:eastAsia="仿宋_GB2312" w:cs="Times New Roman"/>
          <w:b/>
          <w:sz w:val="32"/>
          <w:szCs w:val="32"/>
        </w:rPr>
        <w:t>涉及有关具体情况的把握和特殊情况的处理等未尽事宜，可直接电话咨询遴选选调单位。</w:t>
      </w:r>
    </w:p>
    <w:p w14:paraId="5A0DE9F1">
      <w:pPr>
        <w:spacing w:line="560" w:lineRule="exact"/>
        <w:ind w:left="0" w:firstLine="649"/>
        <w:rPr>
          <w:rFonts w:ascii="Times New Roman" w:hAnsi="Times New Roman" w:eastAsia="仿宋_GB2312" w:cs="Times New Roman"/>
          <w:b/>
          <w:sz w:val="32"/>
          <w:szCs w:val="32"/>
        </w:rPr>
      </w:pPr>
    </w:p>
    <w:p w14:paraId="403B9CD7">
      <w:pPr>
        <w:spacing w:line="560" w:lineRule="exact"/>
        <w:ind w:left="0" w:firstLine="649"/>
        <w:rPr>
          <w:rFonts w:ascii="Times New Roman" w:hAnsi="Times New Roman" w:eastAsia="仿宋_GB2312" w:cs="Times New Roman"/>
          <w:b/>
          <w:sz w:val="32"/>
          <w:szCs w:val="32"/>
        </w:rPr>
      </w:pPr>
    </w:p>
    <w:p w14:paraId="77514CEA">
      <w:pPr>
        <w:spacing w:line="560" w:lineRule="exact"/>
        <w:rPr>
          <w:rFonts w:ascii="Times New Roman" w:hAnsi="Times New Roman" w:eastAsia="仿宋_GB2312" w:cs="Times New Roman"/>
          <w:b/>
          <w:sz w:val="32"/>
          <w:szCs w:val="32"/>
        </w:rPr>
      </w:pPr>
      <w:bookmarkStart w:id="0" w:name="_GoBack"/>
      <w:bookmarkEnd w:id="0"/>
    </w:p>
    <w:sectPr>
      <w:footerReference r:id="rId5" w:type="first"/>
      <w:footerReference r:id="rId3" w:type="default"/>
      <w:footerReference r:id="rId4" w:type="even"/>
      <w:pgSz w:w="11906" w:h="16838"/>
      <w:pgMar w:top="2098" w:right="1531" w:bottom="1984" w:left="1531" w:header="851" w:footer="1559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B9BB2E">
    <w:pPr>
      <w:pStyle w:val="5"/>
      <w:framePr w:wrap="around" w:vAnchor="text" w:hAnchor="margin" w:xAlign="center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rPr>
        <w:rFonts w:hint="eastAsia" w:ascii="宋体"/>
        <w:b/>
        <w:bCs/>
        <w:sz w:val="28"/>
        <w:szCs w:val="28"/>
      </w:rPr>
    </w:pPr>
    <w:r>
      <w:rPr>
        <w:rStyle w:val="11"/>
        <w:rFonts w:hint="eastAsia" w:ascii="宋体"/>
        <w:b/>
        <w:bCs/>
        <w:sz w:val="28"/>
        <w:szCs w:val="28"/>
      </w:rPr>
      <w:fldChar w:fldCharType="begin"/>
    </w:r>
    <w:r>
      <w:rPr>
        <w:rStyle w:val="11"/>
        <w:rFonts w:hint="eastAsia" w:ascii="宋体"/>
        <w:b/>
        <w:bCs/>
        <w:sz w:val="28"/>
        <w:szCs w:val="28"/>
      </w:rPr>
      <w:instrText xml:space="preserve">Page</w:instrText>
    </w:r>
    <w:r>
      <w:rPr>
        <w:rStyle w:val="11"/>
        <w:rFonts w:hint="eastAsia" w:ascii="宋体"/>
        <w:b/>
        <w:bCs/>
        <w:sz w:val="28"/>
        <w:szCs w:val="28"/>
      </w:rPr>
      <w:fldChar w:fldCharType="separate"/>
    </w:r>
    <w:r>
      <w:rPr>
        <w:rStyle w:val="11"/>
        <w:rFonts w:hint="eastAsia" w:ascii="宋体"/>
        <w:b/>
        <w:bCs/>
        <w:sz w:val="28"/>
        <w:szCs w:val="28"/>
      </w:rPr>
      <w:t>— 1 —</w:t>
    </w:r>
    <w:r>
      <w:rPr>
        <w:rStyle w:val="11"/>
        <w:rFonts w:hint="eastAsia" w:ascii="宋体"/>
        <w:b/>
        <w:bCs/>
        <w:sz w:val="28"/>
        <w:szCs w:val="28"/>
      </w:rPr>
      <w:fldChar w:fldCharType="end"/>
    </w:r>
  </w:p>
  <w:p w14:paraId="29035D36">
    <w:pPr>
      <w:pStyle w:val="5"/>
      <w:ind w:right="360"/>
      <w:rPr>
        <w:rFonts w:hint="eastAsia" w:ascii="宋体"/>
        <w:b/>
        <w:bCs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AD6E9E">
    <w:pPr>
      <w:pStyle w:val="5"/>
      <w:framePr w:wrap="around" w:vAnchor="text" w:hAnchor="margin" w:xAlign="center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jc w:val="center"/>
    </w:pPr>
    <w:r>
      <w:rPr>
        <w:rStyle w:val="11"/>
      </w:rPr>
      <w:fldChar w:fldCharType="begin"/>
    </w:r>
    <w:r>
      <w:rPr>
        <w:rStyle w:val="11"/>
      </w:rPr>
      <w:instrText xml:space="preserve">Page</w:instrText>
    </w:r>
    <w:r>
      <w:rPr>
        <w:rStyle w:val="11"/>
      </w:rPr>
      <w:fldChar w:fldCharType="separate"/>
    </w:r>
    <w:r>
      <w:rPr>
        <w:rStyle w:val="11"/>
      </w:rPr>
      <w:t>— 1 —</w:t>
    </w:r>
    <w:r>
      <w:rPr>
        <w:rStyle w:val="11"/>
      </w:rPr>
      <w:fldChar w:fldCharType="end"/>
    </w:r>
  </w:p>
  <w:p w14:paraId="5806EF1E">
    <w:pPr>
      <w:pStyle w:val="5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32DBC1">
    <w:pPr>
      <w:pStyle w:val="5"/>
      <w:framePr w:wrap="around" w:vAnchor="text" w:hAnchor="margin" w:xAlign="center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  <w:r>
      <w:rPr>
        <w:rStyle w:val="11"/>
      </w:rPr>
      <w:fldChar w:fldCharType="begin"/>
    </w:r>
    <w:r>
      <w:rPr>
        <w:rStyle w:val="11"/>
      </w:rPr>
      <w:instrText xml:space="preserve">Page</w:instrText>
    </w:r>
    <w:r>
      <w:rPr>
        <w:rStyle w:val="11"/>
      </w:rPr>
      <w:fldChar w:fldCharType="separate"/>
    </w:r>
    <w:r>
      <w:rPr>
        <w:rStyle w:val="11"/>
      </w:rPr>
      <w:t>— 1 —</w:t>
    </w:r>
    <w:r>
      <w:rPr>
        <w:rStyle w:val="11"/>
      </w:rPr>
      <w:fldChar w:fldCharType="end"/>
    </w:r>
  </w:p>
  <w:p w14:paraId="2E09B9C3">
    <w:pPr>
      <w:pStyle w:val="5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</w:compat>
  <w:rsids>
    <w:rsidRoot w:val="00000000"/>
    <w:rsid w:val="0FFFA656"/>
    <w:rsid w:val="1BF62B74"/>
    <w:rsid w:val="39DB506F"/>
    <w:rsid w:val="6CECA9CA"/>
    <w:rsid w:val="6DBFE523"/>
    <w:rsid w:val="77074924"/>
    <w:rsid w:val="7FC18553"/>
    <w:rsid w:val="ADE67925"/>
    <w:rsid w:val="EFFB2DD7"/>
    <w:rsid w:val="F7DC064E"/>
    <w:rsid w:val="FA37C990"/>
    <w:rsid w:val="FBCFCE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next w:val="5"/>
    <w:qFormat/>
    <w:uiPriority w:val="0"/>
    <w:pPr>
      <w:widowControl w:val="0"/>
      <w:spacing w:before="0" w:beforeAutospacing="1" w:after="0" w:afterAutospacing="1"/>
      <w:ind w:left="0" w:right="0"/>
      <w:jc w:val="left"/>
    </w:pPr>
    <w:rPr>
      <w:rFonts w:ascii="Calibri" w:hAnsi="Calibri" w:eastAsia="宋体" w:cs="Arial"/>
      <w:kern w:val="0"/>
      <w:sz w:val="24"/>
      <w:szCs w:val="24"/>
      <w:lang w:val="en-US" w:eastAsia="zh-CN" w:bidi="ar-SA"/>
    </w:rPr>
  </w:style>
  <w:style w:type="character" w:styleId="10">
    <w:name w:val="Strong"/>
    <w:qFormat/>
    <w:uiPriority w:val="0"/>
    <w:rPr>
      <w:rFonts w:ascii="宋体" w:eastAsia="宋体" w:cs="Times New Roman"/>
      <w:b/>
      <w:kern w:val="2"/>
      <w:sz w:val="24"/>
      <w:szCs w:val="21"/>
      <w:lang w:val="en-US" w:eastAsia="zh-CN" w:bidi="ar-SA"/>
    </w:rPr>
  </w:style>
  <w:style w:type="character" w:styleId="11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3</Pages>
  <Words>1428</Words>
  <Characters>1469</Characters>
  <Lines>65</Lines>
  <Paragraphs>15</Paragraphs>
  <TotalTime>0</TotalTime>
  <ScaleCrop>false</ScaleCrop>
  <LinksUpToDate>false</LinksUpToDate>
  <CharactersWithSpaces>1485</CharactersWithSpaces>
  <Application>WPS Office_12.8.2.1119_F1E327BC-269C-435d-A152-05C5408002CA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2020-09-06T22:17:00Z</dcterms:created>
  <dc:creator>John</dc:creator>
  <cp:lastModifiedBy>user</cp:lastModifiedBy>
  <cp:lastPrinted>2024-06-28T09:08:00Z</cp:lastPrinted>
  <dcterms:modified xsi:type="dcterms:W3CDTF">2026-06-18T14:35:49Z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1AAE73DB83AD91EE30E3A36437B0F6FA</vt:lpwstr>
  </property>
</Properties>
</file>