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1195">
      <w:pPr>
        <w:pStyle w:val="2"/>
        <w:spacing w:line="420" w:lineRule="exact"/>
        <w:ind w:firstLine="0" w:firstLineChars="0"/>
        <w:rPr>
          <w:rFonts w:hint="eastAsia" w:asciiTheme="majorEastAsia" w:hAnsiTheme="majorEastAsia" w:eastAsiaTheme="majorEastAsia" w:cstheme="majorEastAsia"/>
          <w:b/>
          <w:bCs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</w:rPr>
        <w:t>附件1</w:t>
      </w:r>
    </w:p>
    <w:p w14:paraId="07D7C502"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安定医院芜湖医院（芜湖市第四人民医院）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年公开招聘</w:t>
      </w:r>
    </w:p>
    <w:p w14:paraId="063FD5AD">
      <w:pPr>
        <w:spacing w:line="52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编内工作人员岗位表</w:t>
      </w:r>
    </w:p>
    <w:bookmarkEnd w:id="0"/>
    <w:p w14:paraId="01E5518E">
      <w:pPr>
        <w:spacing w:line="520" w:lineRule="exact"/>
        <w:jc w:val="both"/>
        <w:rPr>
          <w:rFonts w:hint="eastAsia" w:ascii="方正小标宋简体" w:eastAsia="方正小标宋简体"/>
          <w:strike/>
          <w:color w:val="auto"/>
          <w:sz w:val="44"/>
          <w:szCs w:val="44"/>
        </w:rPr>
      </w:pP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75"/>
        <w:gridCol w:w="567"/>
        <w:gridCol w:w="744"/>
        <w:gridCol w:w="592"/>
        <w:gridCol w:w="956"/>
        <w:gridCol w:w="1216"/>
        <w:gridCol w:w="755"/>
        <w:gridCol w:w="2255"/>
        <w:gridCol w:w="1241"/>
        <w:gridCol w:w="1339"/>
        <w:gridCol w:w="782"/>
        <w:gridCol w:w="2035"/>
        <w:gridCol w:w="991"/>
      </w:tblGrid>
      <w:tr w14:paraId="2D57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18" w:type="dxa"/>
            <w:vAlign w:val="center"/>
          </w:tcPr>
          <w:p w14:paraId="41C25A3A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475" w:type="dxa"/>
            <w:vAlign w:val="center"/>
          </w:tcPr>
          <w:p w14:paraId="3A037D4F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67" w:type="dxa"/>
            <w:vAlign w:val="center"/>
          </w:tcPr>
          <w:p w14:paraId="3A34B491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744" w:type="dxa"/>
            <w:vAlign w:val="center"/>
          </w:tcPr>
          <w:p w14:paraId="4B465179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（名)</w:t>
            </w:r>
          </w:p>
        </w:tc>
        <w:tc>
          <w:tcPr>
            <w:tcW w:w="592" w:type="dxa"/>
            <w:vAlign w:val="center"/>
          </w:tcPr>
          <w:p w14:paraId="04098526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956" w:type="dxa"/>
            <w:vAlign w:val="center"/>
          </w:tcPr>
          <w:p w14:paraId="38FCE689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16" w:type="dxa"/>
            <w:vAlign w:val="center"/>
          </w:tcPr>
          <w:p w14:paraId="652CAF62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55" w:type="dxa"/>
            <w:vAlign w:val="center"/>
          </w:tcPr>
          <w:p w14:paraId="1F029184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招聘人数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（名)</w:t>
            </w:r>
          </w:p>
        </w:tc>
        <w:tc>
          <w:tcPr>
            <w:tcW w:w="8643" w:type="dxa"/>
            <w:gridSpan w:val="6"/>
            <w:vAlign w:val="center"/>
          </w:tcPr>
          <w:p w14:paraId="41EBF4CD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岗位条件和要求</w:t>
            </w:r>
          </w:p>
        </w:tc>
      </w:tr>
      <w:tr w14:paraId="1AE2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18" w:type="dxa"/>
            <w:vAlign w:val="center"/>
          </w:tcPr>
          <w:p w14:paraId="1CFDCDA3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6FD75E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88ECE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vAlign w:val="center"/>
          </w:tcPr>
          <w:p w14:paraId="71AFC41F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448D6F54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08A36AA1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1DFD018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Align w:val="center"/>
          </w:tcPr>
          <w:p w14:paraId="63F73AD9"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75F00E8B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241" w:type="dxa"/>
            <w:vAlign w:val="center"/>
          </w:tcPr>
          <w:p w14:paraId="4A59450A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1339" w:type="dxa"/>
            <w:vAlign w:val="center"/>
          </w:tcPr>
          <w:p w14:paraId="381E403F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782" w:type="dxa"/>
            <w:vAlign w:val="center"/>
          </w:tcPr>
          <w:p w14:paraId="2668A7FA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2035" w:type="dxa"/>
            <w:vAlign w:val="center"/>
          </w:tcPr>
          <w:p w14:paraId="663DD27F"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991" w:type="dxa"/>
            <w:vAlign w:val="center"/>
          </w:tcPr>
          <w:p w14:paraId="7EE87239"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用人科室</w:t>
            </w:r>
          </w:p>
        </w:tc>
      </w:tr>
      <w:tr w14:paraId="37B0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518" w:type="dxa"/>
            <w:vAlign w:val="center"/>
          </w:tcPr>
          <w:p w14:paraId="7809BF7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1</w:t>
            </w:r>
          </w:p>
        </w:tc>
        <w:tc>
          <w:tcPr>
            <w:tcW w:w="475" w:type="dxa"/>
            <w:vMerge w:val="restart"/>
            <w:vAlign w:val="center"/>
          </w:tcPr>
          <w:p w14:paraId="408C38A6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安定医院芜湖医院（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芜湖市第四人民医院）</w:t>
            </w:r>
          </w:p>
        </w:tc>
        <w:tc>
          <w:tcPr>
            <w:tcW w:w="567" w:type="dxa"/>
            <w:vMerge w:val="restart"/>
            <w:vAlign w:val="center"/>
          </w:tcPr>
          <w:p w14:paraId="39A0041D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公益二类</w:t>
            </w:r>
          </w:p>
        </w:tc>
        <w:tc>
          <w:tcPr>
            <w:tcW w:w="744" w:type="dxa"/>
            <w:vMerge w:val="restart"/>
            <w:vAlign w:val="center"/>
          </w:tcPr>
          <w:p w14:paraId="3DEAE6B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14</w:t>
            </w:r>
          </w:p>
        </w:tc>
        <w:tc>
          <w:tcPr>
            <w:tcW w:w="592" w:type="dxa"/>
            <w:vMerge w:val="restart"/>
            <w:vAlign w:val="center"/>
          </w:tcPr>
          <w:p w14:paraId="20187E07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事</w:t>
            </w:r>
          </w:p>
          <w:p w14:paraId="3B538763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业</w:t>
            </w:r>
          </w:p>
          <w:p w14:paraId="6AC6371E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单</w:t>
            </w:r>
          </w:p>
          <w:p w14:paraId="02D9907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位</w:t>
            </w:r>
          </w:p>
          <w:p w14:paraId="0003EA30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编</w:t>
            </w:r>
          </w:p>
          <w:p w14:paraId="625134E5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内</w:t>
            </w:r>
          </w:p>
          <w:p w14:paraId="1400570E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</w:p>
        </w:tc>
        <w:tc>
          <w:tcPr>
            <w:tcW w:w="956" w:type="dxa"/>
            <w:vAlign w:val="center"/>
          </w:tcPr>
          <w:p w14:paraId="6FD64228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745630E6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>01</w:t>
            </w:r>
          </w:p>
        </w:tc>
        <w:tc>
          <w:tcPr>
            <w:tcW w:w="755" w:type="dxa"/>
            <w:vAlign w:val="center"/>
          </w:tcPr>
          <w:p w14:paraId="0AF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5" w:type="dxa"/>
            <w:vAlign w:val="center"/>
          </w:tcPr>
          <w:p w14:paraId="121F95B7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精神病与精神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lang w:val="en-US" w:eastAsia="zh-CN"/>
              </w:rPr>
              <w:t>卫生学专业</w:t>
            </w:r>
          </w:p>
        </w:tc>
        <w:tc>
          <w:tcPr>
            <w:tcW w:w="1241" w:type="dxa"/>
            <w:vAlign w:val="center"/>
          </w:tcPr>
          <w:p w14:paraId="48609B0D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344BCF14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0DAB2A6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0438F747">
            <w:pPr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1、初级及以下职称要求具备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医师资格证书和住院医师规范化培训合格证书或提供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年住培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结束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证明</w:t>
            </w:r>
          </w:p>
          <w:p w14:paraId="6597BDFC">
            <w:pPr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2、限男性</w:t>
            </w:r>
          </w:p>
        </w:tc>
        <w:tc>
          <w:tcPr>
            <w:tcW w:w="991" w:type="dxa"/>
            <w:vAlign w:val="center"/>
          </w:tcPr>
          <w:p w14:paraId="38762AB0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lang w:val="en-US" w:eastAsia="zh-CN"/>
              </w:rPr>
              <w:t>医务科</w:t>
            </w:r>
          </w:p>
        </w:tc>
      </w:tr>
      <w:tr w14:paraId="1AC9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18" w:type="dxa"/>
            <w:vAlign w:val="center"/>
          </w:tcPr>
          <w:p w14:paraId="066F006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  <w:t>2</w:t>
            </w:r>
          </w:p>
        </w:tc>
        <w:tc>
          <w:tcPr>
            <w:tcW w:w="475" w:type="dxa"/>
            <w:vMerge w:val="continue"/>
            <w:vAlign w:val="center"/>
          </w:tcPr>
          <w:p w14:paraId="32A83407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C81DBDF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60FA6A24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08A2DD09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76402F69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537208FB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  <w:t>02</w:t>
            </w:r>
          </w:p>
        </w:tc>
        <w:tc>
          <w:tcPr>
            <w:tcW w:w="755" w:type="dxa"/>
            <w:vAlign w:val="center"/>
          </w:tcPr>
          <w:p w14:paraId="581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5" w:type="dxa"/>
            <w:vAlign w:val="center"/>
          </w:tcPr>
          <w:p w14:paraId="73BD332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精神病与精神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卫生学专业</w:t>
            </w:r>
          </w:p>
        </w:tc>
        <w:tc>
          <w:tcPr>
            <w:tcW w:w="1241" w:type="dxa"/>
            <w:vAlign w:val="center"/>
          </w:tcPr>
          <w:p w14:paraId="75C3BDAB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53AF208A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1A339AA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5E7B0098">
            <w:pPr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1、初级及以下职称要求具备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医师资格证书和住院医师规范化培训合格证书或提供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年住培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结束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</w:rPr>
              <w:t>证明</w:t>
            </w:r>
          </w:p>
          <w:p w14:paraId="0C0CE70C">
            <w:pPr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2、限女性</w:t>
            </w:r>
          </w:p>
        </w:tc>
        <w:tc>
          <w:tcPr>
            <w:tcW w:w="991" w:type="dxa"/>
            <w:vAlign w:val="center"/>
          </w:tcPr>
          <w:p w14:paraId="36AB7D2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医务科</w:t>
            </w:r>
          </w:p>
        </w:tc>
      </w:tr>
      <w:tr w14:paraId="0C1B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8" w:type="dxa"/>
            <w:vAlign w:val="center"/>
          </w:tcPr>
          <w:p w14:paraId="52744346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75" w:type="dxa"/>
            <w:vMerge w:val="continue"/>
            <w:vAlign w:val="center"/>
          </w:tcPr>
          <w:p w14:paraId="6002E81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E8DF523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3969C148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38E1826E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4CDF1298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4AD56814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03</w:t>
            </w:r>
          </w:p>
        </w:tc>
        <w:tc>
          <w:tcPr>
            <w:tcW w:w="755" w:type="dxa"/>
            <w:vAlign w:val="center"/>
          </w:tcPr>
          <w:p w14:paraId="3CE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5" w:type="dxa"/>
            <w:vAlign w:val="center"/>
          </w:tcPr>
          <w:p w14:paraId="395D47D4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护理学专业、护理专业</w:t>
            </w:r>
          </w:p>
        </w:tc>
        <w:tc>
          <w:tcPr>
            <w:tcW w:w="1241" w:type="dxa"/>
            <w:vAlign w:val="center"/>
          </w:tcPr>
          <w:p w14:paraId="7290B20E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31B2B04B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20E768BA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27E4B7F0">
            <w:pPr>
              <w:spacing w:line="38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DCF4FA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护理部</w:t>
            </w:r>
          </w:p>
        </w:tc>
      </w:tr>
      <w:tr w14:paraId="1D0D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8" w:type="dxa"/>
            <w:vAlign w:val="center"/>
          </w:tcPr>
          <w:p w14:paraId="1506EAA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475" w:type="dxa"/>
            <w:vMerge w:val="continue"/>
            <w:vAlign w:val="center"/>
          </w:tcPr>
          <w:p w14:paraId="05B1D8BB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8A2D552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16ED0004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74DF4E9B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07C21DD6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1DB3BA07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04</w:t>
            </w:r>
          </w:p>
        </w:tc>
        <w:tc>
          <w:tcPr>
            <w:tcW w:w="755" w:type="dxa"/>
            <w:vAlign w:val="center"/>
          </w:tcPr>
          <w:p w14:paraId="19CD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5" w:type="dxa"/>
            <w:vAlign w:val="center"/>
          </w:tcPr>
          <w:p w14:paraId="4411D7E0">
            <w:pPr>
              <w:spacing w:line="380" w:lineRule="exact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药学专业、药理学专业</w:t>
            </w:r>
          </w:p>
        </w:tc>
        <w:tc>
          <w:tcPr>
            <w:tcW w:w="1241" w:type="dxa"/>
            <w:vAlign w:val="center"/>
          </w:tcPr>
          <w:p w14:paraId="5AF34987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6B3F8DDB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5004794C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05433E24"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91" w:type="dxa"/>
            <w:vAlign w:val="center"/>
          </w:tcPr>
          <w:p w14:paraId="0EB364F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药剂科</w:t>
            </w:r>
          </w:p>
        </w:tc>
      </w:tr>
      <w:tr w14:paraId="3CE0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18" w:type="dxa"/>
            <w:vAlign w:val="center"/>
          </w:tcPr>
          <w:p w14:paraId="7DFD4BAA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475" w:type="dxa"/>
            <w:vMerge w:val="continue"/>
            <w:vAlign w:val="center"/>
          </w:tcPr>
          <w:p w14:paraId="2D63EC74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6B4F61D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26AB2D2F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16A87648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1D828B08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599D2E90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eastAsia="zh-CN"/>
              </w:rPr>
              <w:t>2026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05</w:t>
            </w:r>
          </w:p>
        </w:tc>
        <w:tc>
          <w:tcPr>
            <w:tcW w:w="755" w:type="dxa"/>
            <w:vAlign w:val="center"/>
          </w:tcPr>
          <w:p w14:paraId="1F7D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5" w:type="dxa"/>
            <w:vAlign w:val="center"/>
          </w:tcPr>
          <w:p w14:paraId="23B625E9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药物分析学专业、药理学专业</w:t>
            </w:r>
          </w:p>
        </w:tc>
        <w:tc>
          <w:tcPr>
            <w:tcW w:w="1241" w:type="dxa"/>
            <w:vAlign w:val="center"/>
          </w:tcPr>
          <w:p w14:paraId="52319A1B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2AE6EC8D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057A9D9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5516ACC9"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1" w:type="dxa"/>
            <w:vAlign w:val="center"/>
          </w:tcPr>
          <w:p w14:paraId="33E2C6BD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检验科</w:t>
            </w:r>
          </w:p>
        </w:tc>
      </w:tr>
      <w:tr w14:paraId="2E1E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18" w:type="dxa"/>
            <w:vAlign w:val="center"/>
          </w:tcPr>
          <w:p w14:paraId="10EA36F6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475" w:type="dxa"/>
            <w:vMerge w:val="continue"/>
            <w:vAlign w:val="center"/>
          </w:tcPr>
          <w:p w14:paraId="372BAE61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2534163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5FFEF754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92" w:type="dxa"/>
            <w:vMerge w:val="continue"/>
            <w:vAlign w:val="center"/>
          </w:tcPr>
          <w:p w14:paraId="4804639F">
            <w:pPr>
              <w:widowControl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7AC78068">
            <w:pPr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1216" w:type="dxa"/>
            <w:vAlign w:val="center"/>
          </w:tcPr>
          <w:p w14:paraId="6C3BF998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highlight w:val="none"/>
                <w:lang w:val="en-US" w:eastAsia="zh-CN"/>
              </w:rPr>
              <w:t>20260106</w:t>
            </w:r>
          </w:p>
        </w:tc>
        <w:tc>
          <w:tcPr>
            <w:tcW w:w="755" w:type="dxa"/>
            <w:vAlign w:val="center"/>
          </w:tcPr>
          <w:p w14:paraId="0E18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5" w:type="dxa"/>
            <w:vAlign w:val="center"/>
          </w:tcPr>
          <w:p w14:paraId="3A245A52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1241" w:type="dxa"/>
            <w:vAlign w:val="center"/>
          </w:tcPr>
          <w:p w14:paraId="641F418E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研究生</w:t>
            </w:r>
          </w:p>
        </w:tc>
        <w:tc>
          <w:tcPr>
            <w:tcW w:w="1339" w:type="dxa"/>
            <w:vAlign w:val="center"/>
          </w:tcPr>
          <w:p w14:paraId="22D5940A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782" w:type="dxa"/>
            <w:vAlign w:val="center"/>
          </w:tcPr>
          <w:p w14:paraId="0F23DF86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35" w:type="dxa"/>
            <w:vAlign w:val="center"/>
          </w:tcPr>
          <w:p w14:paraId="76511CD7"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1" w:type="dxa"/>
            <w:vAlign w:val="center"/>
          </w:tcPr>
          <w:p w14:paraId="07C9FF65">
            <w:pPr>
              <w:spacing w:line="38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lang w:val="en-US" w:eastAsia="zh-CN"/>
              </w:rPr>
              <w:t>院办室</w:t>
            </w:r>
          </w:p>
        </w:tc>
      </w:tr>
    </w:tbl>
    <w:p w14:paraId="2805B6A2">
      <w:pPr>
        <w:jc w:val="center"/>
        <w:rPr>
          <w:rFonts w:hint="eastAsia" w:ascii="仿宋_GB2312" w:hAnsi="仿宋_GB2312" w:eastAsia="仿宋_GB2312" w:cs="仿宋_GB2312"/>
          <w:color w:val="auto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7" w:right="1587" w:bottom="1474" w:left="1587" w:header="851" w:footer="850" w:gutter="0"/>
          <w:pgNumType w:fmt="decimal"/>
          <w:cols w:space="0" w:num="1"/>
          <w:rtlGutter w:val="0"/>
          <w:docGrid w:type="lines" w:linePitch="315" w:charSpace="0"/>
        </w:sectPr>
      </w:pPr>
    </w:p>
    <w:p w14:paraId="23A5C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045EEE-C994-4BC6-8172-81CED6BEE1A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753553-9C29-44BF-8FDC-532C870728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88AE92E-EF77-4892-9529-4F72A7696C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71832F2-1C54-48CD-8CCC-136AB57F7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780A3">
    <w:pPr>
      <w:pStyle w:val="3"/>
      <w:ind w:right="420" w:rightChars="200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FFA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FFA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76AF">
    <w:pPr>
      <w:pStyle w:val="3"/>
      <w:ind w:left="420" w:leftChars="200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783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783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1813"/>
    <w:rsid w:val="392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eastAsia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2026-06-24T08:55:00Z</dcterms:created>
  <dc:creator>雅拉神山</dc:creator>
  <cp:lastModifiedBy>雅拉神山</cp:lastModifiedBy>
  <dcterms:modified xsi:type="dcterms:W3CDTF">2026-06-24T08:55:50Z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D7A1DD518C154E1B90456777FCC5332F_11</vt:lpwstr>
  </property>
  <property fmtid="{D5CDD505-2E9C-101B-9397-08002B2CF9AE}" pid="4" name="KSOTemplateDocerSaveRecord">
    <vt:lpwstr>eyJoZGlkIjoiYjJlZGQzOTllNWMyMmE1ZjMyNDM4NDBhOTRiOTgyNjciLCJ1c2VySWQiOiIyNDA4NzEwMDkifQ==</vt:lpwstr>
  </property>
</Properties>
</file>