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20C8">
      <w:pPr>
        <w:jc w:val="left"/>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附件1</w:t>
      </w:r>
    </w:p>
    <w:p w14:paraId="423E2DC9">
      <w:pPr>
        <w:jc w:val="center"/>
        <w:rPr>
          <w:rFonts w:hint="eastAsia" w:ascii="方正公文小标宋" w:hAnsi="方正公文小标宋" w:eastAsia="方正公文小标宋" w:cs="方正公文小标宋"/>
          <w:b/>
          <w:bCs/>
          <w:color w:val="auto"/>
          <w:sz w:val="36"/>
          <w:szCs w:val="36"/>
          <w:highlight w:val="none"/>
          <w:lang w:val="en-US" w:eastAsia="zh-CN"/>
        </w:rPr>
      </w:pPr>
      <w:r>
        <w:rPr>
          <w:rFonts w:hint="eastAsia" w:ascii="方正公文小标宋" w:hAnsi="方正公文小标宋" w:eastAsia="方正公文小标宋" w:cs="方正公文小标宋"/>
          <w:b/>
          <w:bCs/>
          <w:color w:val="auto"/>
          <w:sz w:val="36"/>
          <w:szCs w:val="36"/>
          <w:highlight w:val="none"/>
          <w:lang w:val="en-US" w:eastAsia="zh-CN"/>
        </w:rPr>
        <w:t>四川同源线缆科技有限责任公司招聘工作人员岗位和条件要求一览表</w:t>
      </w:r>
    </w:p>
    <w:tbl>
      <w:tblPr>
        <w:tblStyle w:val="4"/>
        <w:tblW w:w="14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840"/>
        <w:gridCol w:w="1260"/>
        <w:gridCol w:w="1935"/>
        <w:gridCol w:w="1312"/>
        <w:gridCol w:w="3569"/>
        <w:gridCol w:w="2228"/>
        <w:gridCol w:w="705"/>
        <w:gridCol w:w="930"/>
        <w:gridCol w:w="575"/>
      </w:tblGrid>
      <w:tr w14:paraId="669D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CBDFA8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招聘岗</w:t>
            </w:r>
          </w:p>
          <w:p w14:paraId="65212CA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位名称</w:t>
            </w:r>
          </w:p>
        </w:tc>
        <w:tc>
          <w:tcPr>
            <w:tcW w:w="84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3FECDA0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招聘人数</w:t>
            </w:r>
          </w:p>
        </w:tc>
        <w:tc>
          <w:tcPr>
            <w:tcW w:w="12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2AB92F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招聘对象及范围</w:t>
            </w:r>
          </w:p>
        </w:tc>
        <w:tc>
          <w:tcPr>
            <w:tcW w:w="193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043A9D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年龄</w:t>
            </w:r>
          </w:p>
        </w:tc>
        <w:tc>
          <w:tcPr>
            <w:tcW w:w="131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089B57A0">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学历</w:t>
            </w:r>
          </w:p>
          <w:p w14:paraId="2B1D68C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（学位）</w:t>
            </w:r>
          </w:p>
        </w:tc>
        <w:tc>
          <w:tcPr>
            <w:tcW w:w="3569"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F1E604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专业条件</w:t>
            </w:r>
          </w:p>
        </w:tc>
        <w:tc>
          <w:tcPr>
            <w:tcW w:w="2228"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CFB47A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其他条件</w:t>
            </w:r>
          </w:p>
        </w:tc>
        <w:tc>
          <w:tcPr>
            <w:tcW w:w="705"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768C4FD">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笔试</w:t>
            </w:r>
          </w:p>
          <w:p w14:paraId="15B874D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科目</w:t>
            </w:r>
          </w:p>
        </w:tc>
        <w:tc>
          <w:tcPr>
            <w:tcW w:w="93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3AA7CC76">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面试</w:t>
            </w:r>
          </w:p>
          <w:p w14:paraId="3DA880E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方式</w:t>
            </w:r>
          </w:p>
        </w:tc>
        <w:tc>
          <w:tcPr>
            <w:tcW w:w="575"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5B8A718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备注</w:t>
            </w:r>
          </w:p>
        </w:tc>
      </w:tr>
      <w:tr w14:paraId="075D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DCF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综合岗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AE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223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4FA61A3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A4C">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E41">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sz w:val="21"/>
                <w:szCs w:val="21"/>
                <w:highlight w:val="none"/>
                <w:lang w:val="en-US" w:eastAsia="zh-CN"/>
              </w:rPr>
              <w:t>大学本科及以上学历</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03D">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本科：中国语言文学类、教育学类</w:t>
            </w:r>
          </w:p>
          <w:p w14:paraId="44DAB3C6">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研究生：中国语言文学类</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2C6">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C94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61A6">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5C114420">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A079A5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7410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251D">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综合协调岗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47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3E8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5BDF241E">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27B">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16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全日制大专及以上学历</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A6D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专业不限</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67D7">
            <w:pPr>
              <w:pStyle w:val="3"/>
              <w:keepNext w:val="0"/>
              <w:keepLines w:val="0"/>
              <w:pageBreakBefore w:val="0"/>
              <w:widowControl w:val="0"/>
              <w:kinsoku/>
              <w:wordWrap/>
              <w:overflowPunct/>
              <w:topLinePunct w:val="0"/>
              <w:autoSpaceDE/>
              <w:autoSpaceDN/>
              <w:bidi w:val="0"/>
              <w:adjustRightInd/>
              <w:snapToGrid/>
              <w:spacing w:after="0" w:line="24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bidi="ar-SA"/>
              </w:rPr>
              <w:t>形象气质佳、</w:t>
            </w:r>
          </w:p>
          <w:p w14:paraId="7BDE905F">
            <w:pPr>
              <w:pStyle w:val="3"/>
              <w:keepNext w:val="0"/>
              <w:keepLines w:val="0"/>
              <w:pageBreakBefore w:val="0"/>
              <w:widowControl w:val="0"/>
              <w:kinsoku/>
              <w:wordWrap/>
              <w:overflowPunct/>
              <w:topLinePunct w:val="0"/>
              <w:autoSpaceDE/>
              <w:autoSpaceDN/>
              <w:bidi w:val="0"/>
              <w:adjustRightInd/>
              <w:snapToGrid/>
              <w:spacing w:after="0" w:line="24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bidi="ar-SA"/>
              </w:rPr>
              <w:t>表达能力强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C1B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7884">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180E9A5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5D83DF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7BCA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63A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财务岗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9BC2">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B2B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77B69FB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A46">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6C0">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sz w:val="21"/>
                <w:szCs w:val="21"/>
                <w:highlight w:val="none"/>
                <w:lang w:val="en-US" w:eastAsia="zh-CN"/>
              </w:rPr>
              <w:t>大学本科及以上学历</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0AE">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本科：会计学专业、财务管理专业、审计学专业</w:t>
            </w:r>
          </w:p>
          <w:p w14:paraId="67293BB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研究生：会计学专业</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8684">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须持有初级及以上会计专业技术资格证书；同时具有2年及以上会计工作经历的，年龄可放宽至1988年7月15日及以后出生</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2F8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3265">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301253D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C0DE4E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r>
      <w:tr w14:paraId="02D5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B116">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sz w:val="21"/>
                <w:szCs w:val="21"/>
                <w:lang w:val="en-US" w:eastAsia="zh-CN"/>
              </w:rPr>
            </w:pPr>
            <w:r>
              <w:rPr>
                <w:rFonts w:hint="eastAsia" w:ascii="Times New Roman" w:hAnsi="Times New Roman" w:eastAsia="方正仿宋简体" w:cs="Times New Roman"/>
                <w:b/>
                <w:bCs/>
                <w:color w:val="auto"/>
                <w:kern w:val="2"/>
                <w:sz w:val="21"/>
                <w:szCs w:val="21"/>
                <w:highlight w:val="none"/>
                <w:lang w:val="en-US" w:eastAsia="zh-CN" w:bidi="ar-SA"/>
              </w:rPr>
              <w:t>融资岗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8F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F32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2965E6D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187">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20D">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Times New Roman" w:hAnsi="Times New Roman" w:eastAsia="方正仿宋简体" w:cs="Times New Roman"/>
                <w:b/>
                <w:bCs/>
                <w:color w:val="auto"/>
                <w:sz w:val="21"/>
                <w:szCs w:val="21"/>
                <w:highlight w:val="none"/>
                <w:lang w:val="en-US" w:eastAsia="zh-CN"/>
              </w:rPr>
              <w:t>大学本科及以上学历</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914">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本科：金融学专业、金融工程专业、经济学专业</w:t>
            </w:r>
          </w:p>
          <w:p w14:paraId="44E9885E">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方正黑体简体" w:hAnsi="方正黑体简体" w:eastAsia="方正黑体简体" w:cs="方正黑体简体"/>
                <w:b/>
                <w:bCs/>
                <w:sz w:val="21"/>
                <w:szCs w:val="21"/>
                <w:lang w:val="en-US" w:eastAsia="zh-CN"/>
              </w:rPr>
            </w:pPr>
            <w:r>
              <w:rPr>
                <w:rFonts w:hint="eastAsia" w:ascii="Times New Roman" w:hAnsi="Times New Roman" w:eastAsia="方正仿宋简体" w:cs="Times New Roman"/>
                <w:b/>
                <w:bCs/>
                <w:color w:val="auto"/>
                <w:kern w:val="2"/>
                <w:sz w:val="21"/>
                <w:szCs w:val="21"/>
                <w:highlight w:val="none"/>
                <w:lang w:val="en-US" w:eastAsia="zh-CN" w:bidi="ar-SA"/>
              </w:rPr>
              <w:t>研究生：金融学专业</w:t>
            </w:r>
            <w:bookmarkStart w:id="0" w:name="_GoBack"/>
            <w:bookmarkEnd w:id="0"/>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D074">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12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C49E">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6F9837A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9B70E8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2582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EF9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Times New Roman" w:hAnsi="Times New Roman" w:eastAsia="方正仿宋简体" w:cs="Times New Roman"/>
                <w:b/>
                <w:bCs/>
                <w:color w:val="auto"/>
                <w:kern w:val="2"/>
                <w:sz w:val="21"/>
                <w:szCs w:val="21"/>
                <w:highlight w:val="none"/>
                <w:lang w:val="en-US" w:eastAsia="zh-CN" w:bidi="ar-SA"/>
              </w:rPr>
              <w:t>宣传岗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DF3D">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05D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5B3AE2F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FE4B">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4C5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大学本科及以上学历</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280">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本科：网络与新媒体专业、传播学专业、视觉传达设计专业</w:t>
            </w:r>
          </w:p>
          <w:p w14:paraId="59AA336D">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研究生：传播学专业</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46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zh-CN" w:eastAsia="zh-CN" w:bidi="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1D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DC8F">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47441F4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CC16C34">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zh-CN" w:eastAsia="zh-CN" w:bidi="zh-CN"/>
              </w:rPr>
            </w:pPr>
          </w:p>
        </w:tc>
      </w:tr>
      <w:tr w14:paraId="345A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0F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合计</w:t>
            </w:r>
          </w:p>
        </w:tc>
        <w:tc>
          <w:tcPr>
            <w:tcW w:w="13354" w:type="dxa"/>
            <w:gridSpan w:val="9"/>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4464DF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sz w:val="21"/>
                <w:szCs w:val="21"/>
                <w:lang w:val="en-US" w:eastAsia="zh-CN"/>
              </w:rPr>
            </w:pPr>
            <w:r>
              <w:rPr>
                <w:rFonts w:hint="eastAsia" w:ascii="Times New Roman" w:hAnsi="Times New Roman" w:eastAsia="方正仿宋简体" w:cs="Times New Roman"/>
                <w:b/>
                <w:bCs/>
                <w:color w:val="auto"/>
                <w:kern w:val="2"/>
                <w:sz w:val="21"/>
                <w:szCs w:val="21"/>
                <w:highlight w:val="none"/>
                <w:lang w:val="en-US" w:eastAsia="zh-CN" w:bidi="ar-SA"/>
              </w:rPr>
              <w:t>5人</w:t>
            </w:r>
          </w:p>
        </w:tc>
      </w:tr>
    </w:tbl>
    <w:p w14:paraId="6B292610">
      <w:pPr>
        <w:rPr>
          <w:rFonts w:hint="eastAsia" w:ascii="方正仿宋_GB2312" w:hAnsi="方正仿宋_GB2312" w:eastAsia="方正仿宋_GB2312" w:cs="方正仿宋_GB2312"/>
          <w:b/>
          <w:bCs/>
          <w:color w:val="auto"/>
          <w:sz w:val="28"/>
          <w:szCs w:val="28"/>
          <w:highlight w:val="none"/>
          <w:lang w:val="en-US" w:eastAsia="zh-CN"/>
        </w:rPr>
      </w:pPr>
    </w:p>
    <w:sectPr>
      <w:pgSz w:w="16838" w:h="11906" w:orient="landscape"/>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4BA20CD3-08AE-4051-87FF-B5759E8A5775}"/>
  </w:font>
  <w:font w:name="方正公文小标宋">
    <w:panose1 w:val="02000500000000000000"/>
    <w:charset w:val="86"/>
    <w:family w:val="auto"/>
    <w:pitch w:val="default"/>
    <w:sig w:usb0="A00002BF" w:usb1="38CF7CFA" w:usb2="00000016" w:usb3="00000000" w:csb0="00040001" w:csb1="00000000"/>
    <w:embedRegular r:id="rId2" w:fontKey="{84D8E720-83AD-4ADA-B2F4-40DF4E8C079B}"/>
  </w:font>
  <w:font w:name="方正黑体简体">
    <w:panose1 w:val="02000000000000000000"/>
    <w:charset w:val="86"/>
    <w:family w:val="script"/>
    <w:pitch w:val="default"/>
    <w:sig w:usb0="A00002BF" w:usb1="184F6CFA" w:usb2="00000012" w:usb3="00000000" w:csb0="00040001" w:csb1="00000000"/>
    <w:embedRegular r:id="rId3" w:fontKey="{FAB4356C-FE82-407C-B783-A90D2B3FDD69}"/>
  </w:font>
  <w:font w:name="方正仿宋简体">
    <w:panose1 w:val="02000000000000000000"/>
    <w:charset w:val="86"/>
    <w:family w:val="script"/>
    <w:pitch w:val="default"/>
    <w:sig w:usb0="A00002BF" w:usb1="184F6CFA" w:usb2="00000012" w:usb3="00000000" w:csb0="00040001" w:csb1="00000000"/>
    <w:embedRegular r:id="rId4" w:fontKey="{0692E160-120C-4DA9-B031-C84722630F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7BCB"/>
    <w:rsid w:val="030517DA"/>
    <w:rsid w:val="0B8D03EA"/>
    <w:rsid w:val="0BCB2C22"/>
    <w:rsid w:val="0C1058DE"/>
    <w:rsid w:val="16FD1CED"/>
    <w:rsid w:val="17F427B7"/>
    <w:rsid w:val="19C2461B"/>
    <w:rsid w:val="22B6753C"/>
    <w:rsid w:val="27806CA5"/>
    <w:rsid w:val="28333D17"/>
    <w:rsid w:val="2928105B"/>
    <w:rsid w:val="2C70553A"/>
    <w:rsid w:val="2F1C72B3"/>
    <w:rsid w:val="2F707FF6"/>
    <w:rsid w:val="34F328E8"/>
    <w:rsid w:val="40356427"/>
    <w:rsid w:val="43AC4C52"/>
    <w:rsid w:val="45A51959"/>
    <w:rsid w:val="5132120A"/>
    <w:rsid w:val="53964FD7"/>
    <w:rsid w:val="54EF0E42"/>
    <w:rsid w:val="5AFE534A"/>
    <w:rsid w:val="605229AF"/>
    <w:rsid w:val="723D0FE7"/>
    <w:rsid w:val="7B3B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497</Characters>
  <Lines>0</Lines>
  <Paragraphs>0</Paragraphs>
  <TotalTime>0</TotalTime>
  <ScaleCrop>false</ScaleCrop>
  <LinksUpToDate>false</LinksUpToDate>
  <CharactersWithSpaces>497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2026-07-02T10:39:00Z</dcterms:created>
  <dc:creator>Administrator</dc:creator>
  <cp:lastModifiedBy>WPS_1591179103</cp:lastModifiedBy>
  <dcterms:modified xsi:type="dcterms:W3CDTF">2026-07-06T05:48:30Z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eyJoZGlkIjoiZDA1NTU2OGJhNzFkNzgxY2Y2NTkyYmU0Y2E2MjU5N2UiLCJ1c2VySWQiOiIxMDA1NTI4MTU3In0=</vt:lpwstr>
  </property>
  <property fmtid="{D5CDD505-2E9C-101B-9397-08002B2CF9AE}" pid="4" name="ICV">
    <vt:lpwstr>DBDEF55385D848DCAAE81773B400F5F7_12</vt:lpwstr>
  </property>
</Properties>
</file>