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内江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青禾生态农业科技有限公司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工作人员的公告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内江青禾生态农业科技有限公司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系东兴区属国有企业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，现因公司经营业务发展需要，经批准，公司将面向社会公开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名，现将有关事项集中公告如下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一、招聘岗位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岗位、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名额、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条件详见附件《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内江青禾生态农业科技有限公司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公开招聘工作人员岗位及条件要求一览表》。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招聘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对象及条件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招聘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对象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面向全社会公开招聘符合岗位条件的社会在职或非在职人员。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（二）基本条件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.报考者应同时具备的条件：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）具有中华人民共和国国籍，热爱社会主义祖国，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拥护中华人民共和国宪法，拥护中国共产党，遵纪守法，品行端正，有良好的职业道德，爱岗敬业，事业心和责任心强。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）身体健康、体检合格，能正常履行招聘岗位职责。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报考者本人有效毕业证所载学历和所获专业名称，应与报考岗位的“学历”和“专业”要求分别相符；报考者本人有效学位证上的学位，应与报考岗位的“学位”资格要求相符。资格证书以实际取得的有效证书为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凡招聘条件中对年龄、工作经历等有明确要求的，其计算时限截止时间为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.有下列情况之一者，不得报考：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）曾受过各类刑事处罚的。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）曾被开除公职的。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）被开除中国共产党党籍的。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）有违法、违纪行为正在接受审查的。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）按照《关于加快推进失信被执行人信用监督、警示和惩戒机制建设的意见》规定，由人民法院通过司法程序认定的失信被执行人。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）法律法规等规定的其他不能报考的情形。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招聘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程序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（一）发布信息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内自生活网、内江人社官方微信公众号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信息，此次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采取网络报名方式进行，不组织现场报名。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（二）报名时间、网址和程序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.报名时间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12:00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。报名截止后不再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收取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报名信息。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.报名方式：符合条件的应聘人员将报名所需资料发送至指定邮箱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346405141@qq.com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（不进行现场报名），电子邮件主题命名为“姓名+报名职位+专业”。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.须提交的报名资料及要求如下：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①有效居民身份证。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②学历、学位证 [国（境）外高校毕业生须提供教育部国（境）外学历学位认证书）]。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③征信报告、无犯罪证明。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④《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内江青禾生态农业科技有限公司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报考信息表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》（需签字后再上传）。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⑤岗位要求的其他证明材料。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.注意事项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应聘者应真实、完整、准确填写报名信息，所附证件需真实有效，否则取消应聘资格；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应聘者报名与考试时使用的身份证必须一致。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（三）资格审查及考核程序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.按照选聘条件、资格和要求等，公司对报名人员进行资格审查及初选，资格审查通过人员进行下一环节。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笔试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①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开考比例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笔试开考比例为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每个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岗位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人数与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报考人数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之比不低于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1:3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。达不到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1:3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比例的，岗位初选合格人数与拟招聘人数缩减到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，达不到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1:2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比例的则取消该招聘岗位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笔试分值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分，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笔试科目为《综合知识》，主要测试应聘人员通用公共知识、农业政策与法规、农业专业知识、管理与案例分析等岗位应知应会的知识。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笔试时间及地点：具体的笔试时间及地点另行通知。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④入围人员确定规则：笔试结束后统一核算成绩，按笔试成绩从高到低排序筛选入围人员。岗位有效笔试合格人数≥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人的，取前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名进入资格复审；岗位有效笔试合格人数不足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人的，仅笔试成绩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60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分及以上人员进入资格复审，低于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60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分不予入围。若入围人员明确放弃面试资格，按笔试成绩排名依次顺延递补下一名达到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60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分及以上的考生。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⑤笔试入围公示：入围人员名单统一公示，公示期不少于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个工作日，公示无异议后开展资格复审。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经资格复审合格的人员，凭本人有效身份证参加面试。面试具体时间、地点另行通知。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面试方式为结构化面试，主要测试考生的专业知识水平、运用知识解决实际问题的能力、组织协调能力、口头表达能力、综合素质等，面试总分为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（四）考核成绩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.笔试+面试=笔试成绩×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+面试成绩×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40%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笔试成绩、面试成绩均按“四舍五入”保留小数点后两位数字。同一岗位应聘人员总成绩如有并列的，面试成绩高的名次排前。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.凡笔试或面试成绩有一项未达到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分的，将不再进入下一环节。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考核总成绩、岗位排名在考核结束后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个工作日内，在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内自生活官网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公布。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）体检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根据综合评定结果，按岗位拟招聘人数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1:1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的比例确定进入体检人选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参加体检的人员自行到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二级甲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及以上综合性医院进行健康体检，体检标准及项目参照四川省公务员考录现行体检标准执行，体检费用自理。初次体检不合格者，可在接到体检结果通知七日内申请复检一次，申请复检人员的体检结果以复检结果为准。未参加体检或体检不合格出现的缺额，按照考试总成绩从高分到低分依次递补体检人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）公示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确定拟聘用人员后，按规定在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内自生活官网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进行公示。公示内容包括拟聘用人员姓名、性别、成绩和监督举报电话等。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公示期满，没有反映问题或反映问题但不影响聘用的，办理聘用手续；对反映有严重问题并查有实据的，不予聘用；对反映有严重问题，但一时难以查实或难以否定的，暂缓聘用，待查实后再决定是否聘用。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四、薪资待遇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.岗位皆采用月薪制，结构由基本工资加年终绩效奖励组成。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入职即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按国家规定购买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四险”，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所有岗位转正后，按国家规定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购买“一金”，提供培训、职工体检、带薪年休假等福利待遇。</w:t>
      </w:r>
    </w:p>
    <w:p>
      <w:pPr>
        <w:pStyle w:val="2"/>
        <w:ind w:firstLine="640" w:firstLineChars="200"/>
        <w:rPr>
          <w:rFonts w:hint="default" w:eastAsia="仿宋_GB231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.办公地点：内江市东兴区田家镇赵家坝（提供城区通勤班车、用餐食堂。）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五、其他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最终解释权归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内江青禾生态农业科技有限公司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所有。  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2238" w:leftChars="304" w:right="0" w:hanging="1600" w:hangingChars="5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附件：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内江青禾生态农业科技有限公司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公开招聘工作人员岗位及条件要求一览表》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right="0" w:firstLine="1600" w:firstLineChars="5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  <w:lang w:eastAsia="zh-CN"/>
        </w:rPr>
        <w:t>内江青禾生态农业科技有限公司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  <w:lang w:val="en-US" w:eastAsia="zh-CN"/>
        </w:rPr>
        <w:t>招聘报名表》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内江青禾生态农业科技有限公司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10F30"/>
    <w:rsid w:val="053A3164"/>
    <w:rsid w:val="074D4D89"/>
    <w:rsid w:val="0CC971F6"/>
    <w:rsid w:val="0E565DFC"/>
    <w:rsid w:val="104B4099"/>
    <w:rsid w:val="11333FA2"/>
    <w:rsid w:val="141B1FDF"/>
    <w:rsid w:val="17707100"/>
    <w:rsid w:val="18276469"/>
    <w:rsid w:val="1C6B40EC"/>
    <w:rsid w:val="1C8650FF"/>
    <w:rsid w:val="1CC161ED"/>
    <w:rsid w:val="1DA73528"/>
    <w:rsid w:val="1DC0603B"/>
    <w:rsid w:val="1E486D8A"/>
    <w:rsid w:val="1FE33C5E"/>
    <w:rsid w:val="217E708A"/>
    <w:rsid w:val="21D2794E"/>
    <w:rsid w:val="24ED38F7"/>
    <w:rsid w:val="252B4B4C"/>
    <w:rsid w:val="266B71CA"/>
    <w:rsid w:val="29F32250"/>
    <w:rsid w:val="2B5835BA"/>
    <w:rsid w:val="2F9151CA"/>
    <w:rsid w:val="347F162D"/>
    <w:rsid w:val="34811BE0"/>
    <w:rsid w:val="37EF1A09"/>
    <w:rsid w:val="393B7AE1"/>
    <w:rsid w:val="3B5D0602"/>
    <w:rsid w:val="3C152818"/>
    <w:rsid w:val="3C445E89"/>
    <w:rsid w:val="40341D35"/>
    <w:rsid w:val="42D80B91"/>
    <w:rsid w:val="4A3917B3"/>
    <w:rsid w:val="4BA97CC9"/>
    <w:rsid w:val="4E5F0613"/>
    <w:rsid w:val="50552B58"/>
    <w:rsid w:val="56DC7F69"/>
    <w:rsid w:val="5A29032F"/>
    <w:rsid w:val="5B247817"/>
    <w:rsid w:val="5BA25E1F"/>
    <w:rsid w:val="5CD111E3"/>
    <w:rsid w:val="5E1004C4"/>
    <w:rsid w:val="5EDD7BF7"/>
    <w:rsid w:val="5F984C00"/>
    <w:rsid w:val="63471E49"/>
    <w:rsid w:val="635A12B4"/>
    <w:rsid w:val="63755DFF"/>
    <w:rsid w:val="63D463C6"/>
    <w:rsid w:val="64A13455"/>
    <w:rsid w:val="69FE2D30"/>
    <w:rsid w:val="6D235ED1"/>
    <w:rsid w:val="6FFE0085"/>
    <w:rsid w:val="72D83E37"/>
    <w:rsid w:val="76120095"/>
    <w:rsid w:val="789E578C"/>
    <w:rsid w:val="7A3A5441"/>
    <w:rsid w:val="7C2D40AF"/>
    <w:rsid w:val="F777E4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ascii="Calibri" w:hAnsi="Calibri" w:eastAsia="宋体" w:cs="Times New Roma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2226</Words>
  <Characters>2303</Characters>
  <Lines>0</Lines>
  <Paragraphs>0</Paragraphs>
  <TotalTime>26</TotalTime>
  <ScaleCrop>false</ScaleCrop>
  <LinksUpToDate>false</LinksUpToDate>
  <CharactersWithSpaces>2349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2025-04-28T15:07:00Z</dcterms:created>
  <dc:creator>LENOVO</dc:creator>
  <cp:lastModifiedBy>user</cp:lastModifiedBy>
  <cp:lastPrinted>2026-07-07T09:18:00Z</cp:lastPrinted>
  <dcterms:modified xsi:type="dcterms:W3CDTF">2026-07-10T15:36:54Z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eyJoZGlkIjoiMDk4NzllY2MxMzY1MDQzZTA0MTcwODljNmNlOGFlYWQiLCJ1c2VySWQiOiIyNDEyOTIwMDQifQ==</vt:lpwstr>
  </property>
  <property fmtid="{D5CDD505-2E9C-101B-9397-08002B2CF9AE}" pid="4" name="ICV">
    <vt:lpwstr>9F345895B5C54CA58A0C4C592C5B0F4E_13</vt:lpwstr>
  </property>
</Properties>
</file>