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pacing w:line="600" w:lineRule="exact"/>
        <w:textAlignment w:val="auto"/>
        <w:rPr>
          <w:rFonts w:eastAsia="黑体"/>
          <w:color w:val="000000" w:themeColor="text1"/>
          <w:szCs w:val="32"/>
          <w14:textFill>
            <w14:solidFill>
              <w14:schemeClr w14:val="tx1"/>
            </w14:solidFill>
          </w14:textFill>
        </w:rPr>
      </w:pPr>
      <w:r>
        <w:rPr>
          <w:rFonts w:eastAsia="黑体"/>
          <w:color w:val="000000" w:themeColor="text1"/>
          <w:szCs w:val="32"/>
          <w14:textFill>
            <w14:solidFill>
              <w14:schemeClr w14:val="tx1"/>
            </w14:solidFill>
          </w14:textFill>
        </w:rPr>
        <w:t>附件2</w:t>
      </w:r>
    </w:p>
    <w:p>
      <w:pPr>
        <w:keepNext w:val="0"/>
        <w:keepLines w:val="0"/>
        <w:pageBreakBefore w:val="0"/>
        <w:widowControl w:val="0"/>
        <w:kinsoku/>
        <w:wordWrap/>
        <w:overflowPunct/>
        <w:topLinePunct w:val="0"/>
        <w:bidi w:val="0"/>
        <w:spacing w:line="600" w:lineRule="exact"/>
        <w:jc w:val="center"/>
        <w:textAlignment w:val="auto"/>
        <w:rPr>
          <w:rFonts w:eastAsia="黑体"/>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bidi w:val="0"/>
        <w:spacing w:line="600" w:lineRule="exact"/>
        <w:jc w:val="center"/>
        <w:textAlignment w:val="auto"/>
        <w:rPr>
          <w:rFonts w:eastAsia="方正小标宋简体"/>
          <w:color w:val="000000" w:themeColor="text1"/>
          <w:sz w:val="44"/>
          <w:szCs w:val="44"/>
          <w14:textFill>
            <w14:solidFill>
              <w14:schemeClr w14:val="tx1"/>
            </w14:solidFill>
          </w14:textFill>
        </w:rPr>
      </w:pPr>
      <w:r>
        <w:rPr>
          <w:rFonts w:eastAsia="方正小标宋简体"/>
          <w:color w:val="000000" w:themeColor="text1"/>
          <w:sz w:val="44"/>
          <w:szCs w:val="44"/>
          <w14:textFill>
            <w14:solidFill>
              <w14:schemeClr w14:val="tx1"/>
            </w14:solidFill>
          </w14:textFill>
        </w:rPr>
        <w:t>聊城市</w:t>
      </w:r>
      <w:r>
        <w:rPr>
          <w:rFonts w:hint="eastAsia" w:eastAsia="方正小标宋简体"/>
          <w:color w:val="000000" w:themeColor="text1"/>
          <w:sz w:val="44"/>
          <w:szCs w:val="44"/>
          <w14:textFill>
            <w14:solidFill>
              <w14:schemeClr w14:val="tx1"/>
            </w14:solidFill>
          </w14:textFill>
        </w:rPr>
        <w:t>疾病预防控制中心</w:t>
      </w:r>
    </w:p>
    <w:p>
      <w:pPr>
        <w:keepNext w:val="0"/>
        <w:keepLines w:val="0"/>
        <w:pageBreakBefore w:val="0"/>
        <w:widowControl w:val="0"/>
        <w:kinsoku/>
        <w:wordWrap/>
        <w:overflowPunct/>
        <w:topLinePunct w:val="0"/>
        <w:bidi w:val="0"/>
        <w:spacing w:line="600" w:lineRule="exact"/>
        <w:jc w:val="center"/>
        <w:textAlignment w:val="auto"/>
        <w:rPr>
          <w:rFonts w:eastAsia="方正小标宋简体"/>
          <w:color w:val="000000" w:themeColor="text1"/>
          <w:sz w:val="44"/>
          <w:szCs w:val="44"/>
          <w14:textFill>
            <w14:solidFill>
              <w14:schemeClr w14:val="tx1"/>
            </w14:solidFill>
          </w14:textFill>
        </w:rPr>
      </w:pPr>
      <w:r>
        <w:rPr>
          <w:rFonts w:hint="eastAsia" w:eastAsia="方正小标宋简体"/>
          <w:color w:val="000000" w:themeColor="text1"/>
          <w:sz w:val="44"/>
          <w:szCs w:val="44"/>
          <w14:textFill>
            <w14:solidFill>
              <w14:schemeClr w14:val="tx1"/>
            </w14:solidFill>
          </w14:textFill>
        </w:rPr>
        <w:t>202</w:t>
      </w:r>
      <w:r>
        <w:rPr>
          <w:rFonts w:hint="eastAsia" w:eastAsia="方正小标宋简体"/>
          <w:color w:val="000000" w:themeColor="text1"/>
          <w:sz w:val="44"/>
          <w:szCs w:val="44"/>
          <w:lang w:val="en-US" w:eastAsia="zh-CN"/>
          <w14:textFill>
            <w14:solidFill>
              <w14:schemeClr w14:val="tx1"/>
            </w14:solidFill>
          </w14:textFill>
        </w:rPr>
        <w:t>6</w:t>
      </w:r>
      <w:r>
        <w:rPr>
          <w:rFonts w:hint="eastAsia" w:eastAsia="方正小标宋简体"/>
          <w:color w:val="000000" w:themeColor="text1"/>
          <w:sz w:val="44"/>
          <w:szCs w:val="44"/>
          <w14:textFill>
            <w14:solidFill>
              <w14:schemeClr w14:val="tx1"/>
            </w14:solidFill>
          </w14:textFill>
        </w:rPr>
        <w:t>年</w:t>
      </w:r>
      <w:r>
        <w:rPr>
          <w:rFonts w:eastAsia="方正小标宋简体"/>
          <w:color w:val="000000" w:themeColor="text1"/>
          <w:sz w:val="44"/>
          <w:szCs w:val="44"/>
          <w14:textFill>
            <w14:solidFill>
              <w14:schemeClr w14:val="tx1"/>
            </w14:solidFill>
          </w14:textFill>
        </w:rPr>
        <w:t>公开招聘工作人员应聘须知</w:t>
      </w:r>
    </w:p>
    <w:p>
      <w:pPr>
        <w:keepNext w:val="0"/>
        <w:keepLines w:val="0"/>
        <w:pageBreakBefore w:val="0"/>
        <w:widowControl w:val="0"/>
        <w:kinsoku/>
        <w:wordWrap/>
        <w:overflowPunct/>
        <w:topLinePunct w:val="0"/>
        <w:bidi w:val="0"/>
        <w:snapToGrid w:val="0"/>
        <w:spacing w:line="600" w:lineRule="exact"/>
        <w:ind w:firstLine="612" w:firstLineChars="196"/>
        <w:textAlignment w:val="auto"/>
        <w:rPr>
          <w:rFonts w:ascii="Calibri" w:hAnsi="Calibri" w:eastAsia="楷体_GB2312" w:cs="Times New Roman"/>
          <w:b/>
          <w:color w:val="000000" w:themeColor="text1"/>
          <w:szCs w:val="32"/>
          <w14:textFill>
            <w14:solidFill>
              <w14:schemeClr w14:val="tx1"/>
            </w14:solidFill>
          </w14:textFill>
        </w:rPr>
      </w:pPr>
      <w:r>
        <w:rPr>
          <w:b/>
          <w:color w:val="000000" w:themeColor="text1"/>
          <w:szCs w:val="32"/>
          <w14:textFill>
            <w14:solidFill>
              <w14:schemeClr w14:val="tx1"/>
            </w14:solidFill>
          </w14:textFill>
        </w:rPr>
        <w:t xml:space="preserve">   </w:t>
      </w:r>
    </w:p>
    <w:p>
      <w:pPr>
        <w:keepNext w:val="0"/>
        <w:keepLines w:val="0"/>
        <w:pageBreakBefore w:val="0"/>
        <w:widowControl w:val="0"/>
        <w:kinsoku/>
        <w:wordWrap/>
        <w:overflowPunct/>
        <w:topLinePunct w:val="0"/>
        <w:bidi w:val="0"/>
        <w:spacing w:line="600" w:lineRule="exact"/>
        <w:ind w:firstLine="624" w:firstLineChars="200"/>
        <w:textAlignment w:val="auto"/>
        <w:rPr>
          <w:rFonts w:ascii="Times New Roman" w:hAnsi="Times New Roman" w:eastAsia="楷体_GB2312" w:cs="Times New Roman"/>
          <w:b/>
          <w:bCs/>
          <w:color w:val="000000" w:themeColor="text1"/>
          <w:szCs w:val="32"/>
          <w14:textFill>
            <w14:solidFill>
              <w14:schemeClr w14:val="tx1"/>
            </w14:solidFill>
          </w14:textFill>
        </w:rPr>
      </w:pPr>
      <w:r>
        <w:rPr>
          <w:rFonts w:hint="eastAsia" w:ascii="Times New Roman" w:hAnsi="Times New Roman" w:eastAsia="楷体_GB2312" w:cs="Times New Roman"/>
          <w:b/>
          <w:bCs/>
          <w:color w:val="000000" w:themeColor="text1"/>
          <w:szCs w:val="32"/>
          <w14:textFill>
            <w14:solidFill>
              <w14:schemeClr w14:val="tx1"/>
            </w14:solidFill>
          </w14:textFill>
        </w:rPr>
        <w:t>1、</w:t>
      </w:r>
      <w:r>
        <w:rPr>
          <w:rFonts w:ascii="Times New Roman" w:hAnsi="Times New Roman" w:eastAsia="楷体_GB2312" w:cs="Times New Roman"/>
          <w:b/>
          <w:bCs/>
          <w:color w:val="000000" w:themeColor="text1"/>
          <w:szCs w:val="32"/>
          <w14:textFill>
            <w14:solidFill>
              <w14:schemeClr w14:val="tx1"/>
            </w14:solidFill>
          </w14:textFill>
        </w:rPr>
        <w:t>非普通高等学历教育的其他教育形式的毕业生是否可以应聘？</w:t>
      </w:r>
    </w:p>
    <w:p>
      <w:pPr>
        <w:keepNext w:val="0"/>
        <w:keepLines w:val="0"/>
        <w:pageBreakBefore w:val="0"/>
        <w:widowControl w:val="0"/>
        <w:kinsoku/>
        <w:wordWrap/>
        <w:overflowPunct/>
        <w:topLinePunct w:val="0"/>
        <w:bidi w:val="0"/>
        <w:snapToGrid w:val="0"/>
        <w:spacing w:line="600" w:lineRule="exact"/>
        <w:ind w:firstLine="624" w:firstLineChars="200"/>
        <w:textAlignment w:val="auto"/>
        <w:rPr>
          <w:rFonts w:ascii="仿宋_GB2312" w:hAnsi="仿宋_GB2312" w:cs="仿宋_GB2312"/>
          <w:color w:val="000000" w:themeColor="text1"/>
          <w:szCs w:val="32"/>
          <w14:textFill>
            <w14:solidFill>
              <w14:schemeClr w14:val="tx1"/>
            </w14:solidFill>
          </w14:textFill>
        </w:rPr>
      </w:pPr>
      <w:r>
        <w:rPr>
          <w:rFonts w:ascii="仿宋_GB2312" w:hAnsi="仿宋_GB2312" w:cs="仿宋_GB2312"/>
          <w:color w:val="000000" w:themeColor="text1"/>
          <w:szCs w:val="32"/>
          <w14:textFill>
            <w14:solidFill>
              <w14:schemeClr w14:val="tx1"/>
            </w14:solidFill>
          </w14:textFill>
        </w:rPr>
        <w:t>国内非普通高等学历教育的其他教育形式（自学考试、成人教育、网络教育、夜大、电大等）毕业生取得毕业证（学位证）后，符合岗位要求资格条件的，均可应聘。</w:t>
      </w:r>
    </w:p>
    <w:p>
      <w:pPr>
        <w:keepNext w:val="0"/>
        <w:keepLines w:val="0"/>
        <w:pageBreakBefore w:val="0"/>
        <w:widowControl w:val="0"/>
        <w:kinsoku/>
        <w:wordWrap/>
        <w:overflowPunct/>
        <w:topLinePunct w:val="0"/>
        <w:bidi w:val="0"/>
        <w:spacing w:line="600" w:lineRule="exact"/>
        <w:ind w:firstLine="624" w:firstLineChars="200"/>
        <w:textAlignment w:val="auto"/>
        <w:rPr>
          <w:rFonts w:ascii="Times New Roman" w:hAnsi="Times New Roman" w:eastAsia="仿宋" w:cs="Times New Roman"/>
          <w:color w:val="000000" w:themeColor="text1"/>
          <w:szCs w:val="32"/>
          <w14:textFill>
            <w14:solidFill>
              <w14:schemeClr w14:val="tx1"/>
            </w14:solidFill>
          </w14:textFill>
        </w:rPr>
      </w:pPr>
      <w:r>
        <w:rPr>
          <w:rFonts w:hint="eastAsia" w:ascii="Calibri" w:hAnsi="Calibri" w:eastAsia="楷体_GB2312" w:cs="Times New Roman"/>
          <w:b/>
          <w:bCs/>
          <w:color w:val="000000" w:themeColor="text1"/>
          <w:szCs w:val="32"/>
          <w14:textFill>
            <w14:solidFill>
              <w14:schemeClr w14:val="tx1"/>
            </w14:solidFill>
          </w14:textFill>
        </w:rPr>
        <w:t>2</w:t>
      </w:r>
      <w:r>
        <w:rPr>
          <w:rFonts w:hint="eastAsia" w:eastAsia="楷体_GB2312" w:cs="Times New Roman"/>
          <w:b/>
          <w:bCs/>
          <w:color w:val="000000" w:themeColor="text1"/>
          <w:szCs w:val="32"/>
          <w14:textFill>
            <w14:solidFill>
              <w14:schemeClr w14:val="tx1"/>
            </w14:solidFill>
          </w14:textFill>
        </w:rPr>
        <w:t>、</w:t>
      </w:r>
      <w:r>
        <w:rPr>
          <w:rFonts w:ascii="Times New Roman" w:hAnsi="Times New Roman" w:eastAsia="楷体_GB2312" w:cs="Times New Roman"/>
          <w:b/>
          <w:bCs/>
          <w:color w:val="000000" w:themeColor="text1"/>
          <w:szCs w:val="32"/>
          <w14:textFill>
            <w14:solidFill>
              <w14:schemeClr w14:val="tx1"/>
            </w14:solidFill>
          </w14:textFill>
        </w:rPr>
        <w:t>如何理解“在读的非应届毕业生”不得应聘？</w:t>
      </w:r>
    </w:p>
    <w:p>
      <w:pPr>
        <w:keepNext w:val="0"/>
        <w:keepLines w:val="0"/>
        <w:pageBreakBefore w:val="0"/>
        <w:widowControl w:val="0"/>
        <w:kinsoku/>
        <w:wordWrap/>
        <w:overflowPunct/>
        <w:topLinePunct w:val="0"/>
        <w:bidi w:val="0"/>
        <w:spacing w:line="600" w:lineRule="exact"/>
        <w:ind w:firstLine="468" w:firstLineChars="150"/>
        <w:textAlignment w:val="auto"/>
        <w:rPr>
          <w:rFonts w:ascii="仿宋_GB2312" w:hAnsi="仿宋_GB2312" w:cs="仿宋_GB2312"/>
          <w:color w:val="000000" w:themeColor="text1"/>
          <w:szCs w:val="32"/>
          <w14:textFill>
            <w14:solidFill>
              <w14:schemeClr w14:val="tx1"/>
            </w14:solidFill>
          </w14:textFill>
        </w:rPr>
      </w:pPr>
      <w:r>
        <w:rPr>
          <w:rFonts w:ascii="仿宋_GB2312" w:hAnsi="仿宋_GB2312" w:cs="仿宋_GB2312"/>
          <w:color w:val="000000" w:themeColor="text1"/>
          <w:szCs w:val="32"/>
          <w14:textFill>
            <w14:solidFill>
              <w14:schemeClr w14:val="tx1"/>
            </w14:solidFill>
          </w14:textFill>
        </w:rPr>
        <w:t>“在读的非应届毕业生”，是指</w:t>
      </w:r>
      <w:r>
        <w:rPr>
          <w:rFonts w:hint="eastAsia" w:ascii="仿宋_GB2312" w:hAnsi="仿宋_GB2312" w:cs="仿宋_GB2312"/>
          <w:color w:val="000000" w:themeColor="text1"/>
          <w:szCs w:val="32"/>
          <w14:textFill>
            <w14:solidFill>
              <w14:schemeClr w14:val="tx1"/>
            </w14:solidFill>
          </w14:textFill>
        </w:rPr>
        <w:t>全脱产在校学习</w:t>
      </w:r>
      <w:r>
        <w:rPr>
          <w:rFonts w:ascii="仿宋_GB2312" w:hAnsi="仿宋_GB2312" w:cs="仿宋_GB2312"/>
          <w:color w:val="000000" w:themeColor="text1"/>
          <w:szCs w:val="32"/>
          <w14:textFill>
            <w14:solidFill>
              <w14:schemeClr w14:val="tx1"/>
            </w14:solidFill>
          </w14:textFill>
        </w:rPr>
        <w:t>的国内普通高等学历教育学生和国（境）外留学</w:t>
      </w:r>
      <w:r>
        <w:rPr>
          <w:rFonts w:hint="eastAsia" w:ascii="仿宋_GB2312" w:hAnsi="仿宋_GB2312" w:cs="仿宋_GB2312"/>
          <w:color w:val="000000" w:themeColor="text1"/>
          <w:szCs w:val="32"/>
          <w14:textFill>
            <w14:solidFill>
              <w14:schemeClr w14:val="tx1"/>
            </w14:solidFill>
          </w14:textFill>
        </w:rPr>
        <w:t>回国</w:t>
      </w:r>
      <w:r>
        <w:rPr>
          <w:rFonts w:ascii="仿宋_GB2312" w:hAnsi="仿宋_GB2312" w:cs="仿宋_GB2312"/>
          <w:color w:val="000000" w:themeColor="text1"/>
          <w:szCs w:val="32"/>
          <w14:textFill>
            <w14:solidFill>
              <w14:schemeClr w14:val="tx1"/>
            </w14:solidFill>
          </w14:textFill>
        </w:rPr>
        <w:t>人员</w:t>
      </w:r>
      <w:r>
        <w:rPr>
          <w:rFonts w:hint="eastAsia" w:ascii="仿宋_GB2312" w:hAnsi="仿宋_GB2312" w:cs="仿宋_GB2312"/>
          <w:color w:val="000000" w:themeColor="text1"/>
          <w:szCs w:val="32"/>
          <w14:textFill>
            <w14:solidFill>
              <w14:schemeClr w14:val="tx1"/>
            </w14:solidFill>
          </w14:textFill>
        </w:rPr>
        <w:t>，</w:t>
      </w:r>
      <w:r>
        <w:rPr>
          <w:rFonts w:ascii="仿宋_GB2312" w:hAnsi="仿宋_GB2312" w:cs="仿宋_GB2312"/>
          <w:color w:val="000000" w:themeColor="text1"/>
          <w:szCs w:val="32"/>
          <w14:textFill>
            <w14:solidFill>
              <w14:schemeClr w14:val="tx1"/>
            </w14:solidFill>
          </w14:textFill>
        </w:rPr>
        <w:t>于</w:t>
      </w:r>
      <w:r>
        <w:rPr>
          <w:rFonts w:ascii="仿宋_GB2312" w:hAnsi="仿宋_GB2312" w:cs="仿宋_GB2312"/>
          <w:color w:val="000000" w:themeColor="text1"/>
          <w:szCs w:val="32"/>
          <w:highlight w:val="none"/>
          <w14:textFill>
            <w14:solidFill>
              <w14:schemeClr w14:val="tx1"/>
            </w14:solidFill>
          </w14:textFill>
        </w:rPr>
        <w:t>202</w:t>
      </w:r>
      <w:r>
        <w:rPr>
          <w:rFonts w:hint="eastAsia" w:ascii="仿宋_GB2312" w:hAnsi="仿宋_GB2312" w:cs="仿宋_GB2312"/>
          <w:color w:val="000000" w:themeColor="text1"/>
          <w:szCs w:val="32"/>
          <w:highlight w:val="none"/>
          <w:lang w:val="en-US" w:eastAsia="zh-CN"/>
          <w14:textFill>
            <w14:solidFill>
              <w14:schemeClr w14:val="tx1"/>
            </w14:solidFill>
          </w14:textFill>
        </w:rPr>
        <w:t>6</w:t>
      </w:r>
      <w:r>
        <w:rPr>
          <w:rFonts w:ascii="仿宋_GB2312" w:hAnsi="仿宋_GB2312" w:cs="仿宋_GB2312"/>
          <w:color w:val="000000" w:themeColor="text1"/>
          <w:szCs w:val="32"/>
          <w:highlight w:val="none"/>
          <w14:textFill>
            <w14:solidFill>
              <w14:schemeClr w14:val="tx1"/>
            </w14:solidFill>
          </w14:textFill>
        </w:rPr>
        <w:t>年</w:t>
      </w:r>
      <w:r>
        <w:rPr>
          <w:rFonts w:hint="eastAsia" w:ascii="仿宋_GB2312" w:hAnsi="仿宋_GB2312" w:cs="仿宋_GB2312"/>
          <w:color w:val="000000" w:themeColor="text1"/>
          <w:szCs w:val="32"/>
          <w:highlight w:val="none"/>
          <w:lang w:val="en-US" w:eastAsia="zh-CN"/>
          <w14:textFill>
            <w14:solidFill>
              <w14:schemeClr w14:val="tx1"/>
            </w14:solidFill>
          </w14:textFill>
        </w:rPr>
        <w:t>7</w:t>
      </w:r>
      <w:r>
        <w:rPr>
          <w:rFonts w:ascii="仿宋_GB2312" w:hAnsi="仿宋_GB2312" w:cs="仿宋_GB2312"/>
          <w:color w:val="000000" w:themeColor="text1"/>
          <w:szCs w:val="32"/>
          <w:highlight w:val="none"/>
          <w14:textFill>
            <w14:solidFill>
              <w14:schemeClr w14:val="tx1"/>
            </w14:solidFill>
          </w14:textFill>
        </w:rPr>
        <w:t>月</w:t>
      </w:r>
      <w:r>
        <w:rPr>
          <w:rFonts w:hint="eastAsia" w:ascii="仿宋_GB2312" w:hAnsi="仿宋_GB2312" w:cs="仿宋_GB2312"/>
          <w:color w:val="000000" w:themeColor="text1"/>
          <w:szCs w:val="32"/>
          <w:highlight w:val="none"/>
          <w:lang w:val="en-US" w:eastAsia="zh-CN"/>
          <w14:textFill>
            <w14:solidFill>
              <w14:schemeClr w14:val="tx1"/>
            </w14:solidFill>
          </w14:textFill>
        </w:rPr>
        <w:t>8日</w:t>
      </w:r>
      <w:r>
        <w:rPr>
          <w:rFonts w:ascii="仿宋_GB2312" w:hAnsi="仿宋_GB2312" w:cs="仿宋_GB2312"/>
          <w:color w:val="000000" w:themeColor="text1"/>
          <w:szCs w:val="32"/>
          <w14:textFill>
            <w14:solidFill>
              <w14:schemeClr w14:val="tx1"/>
            </w14:solidFill>
          </w14:textFill>
        </w:rPr>
        <w:t>前无法完成学业并取得学历（学位）证书的，不得应聘。</w:t>
      </w:r>
    </w:p>
    <w:p>
      <w:pPr>
        <w:keepNext w:val="0"/>
        <w:keepLines w:val="0"/>
        <w:pageBreakBefore w:val="0"/>
        <w:widowControl w:val="0"/>
        <w:kinsoku/>
        <w:wordWrap/>
        <w:overflowPunct/>
        <w:topLinePunct w:val="0"/>
        <w:bidi w:val="0"/>
        <w:spacing w:line="600" w:lineRule="exact"/>
        <w:ind w:firstLine="624" w:firstLineChars="200"/>
        <w:textAlignment w:val="auto"/>
        <w:rPr>
          <w:rFonts w:ascii="仿宋_GB2312" w:hAnsi="仿宋_GB2312" w:cs="仿宋_GB2312"/>
          <w:color w:val="000000" w:themeColor="text1"/>
          <w:szCs w:val="32"/>
          <w14:textFill>
            <w14:solidFill>
              <w14:schemeClr w14:val="tx1"/>
            </w14:solidFill>
          </w14:textFill>
        </w:rPr>
      </w:pPr>
      <w:r>
        <w:rPr>
          <w:rFonts w:hint="eastAsia" w:ascii="Times New Roman" w:hAnsi="Times New Roman" w:eastAsia="楷体_GB2312" w:cs="Times New Roman"/>
          <w:b/>
          <w:bCs/>
          <w:color w:val="000000" w:themeColor="text1"/>
          <w:szCs w:val="32"/>
          <w14:textFill>
            <w14:solidFill>
              <w14:schemeClr w14:val="tx1"/>
            </w14:solidFill>
          </w14:textFill>
        </w:rPr>
        <w:t>3、</w:t>
      </w:r>
      <w:r>
        <w:rPr>
          <w:rFonts w:ascii="Times New Roman" w:hAnsi="Times New Roman" w:eastAsia="楷体_GB2312" w:cs="Times New Roman"/>
          <w:b/>
          <w:bCs/>
          <w:color w:val="000000" w:themeColor="text1"/>
          <w:szCs w:val="32"/>
          <w14:textFill>
            <w14:solidFill>
              <w14:schemeClr w14:val="tx1"/>
            </w14:solidFill>
          </w14:textFill>
        </w:rPr>
        <w:t>留学回国人员可以应聘哪些岗位，需提供哪些材料？</w:t>
      </w:r>
    </w:p>
    <w:p>
      <w:pPr>
        <w:keepNext w:val="0"/>
        <w:keepLines w:val="0"/>
        <w:pageBreakBefore w:val="0"/>
        <w:widowControl w:val="0"/>
        <w:kinsoku/>
        <w:wordWrap/>
        <w:overflowPunct/>
        <w:topLinePunct w:val="0"/>
        <w:bidi w:val="0"/>
        <w:spacing w:line="600" w:lineRule="exact"/>
        <w:ind w:firstLine="665"/>
        <w:textAlignment w:val="auto"/>
        <w:rPr>
          <w:rFonts w:ascii="仿宋_GB2312" w:hAnsi="仿宋_GB2312" w:cs="仿宋_GB2312"/>
          <w:color w:val="000000" w:themeColor="text1"/>
          <w:szCs w:val="32"/>
          <w14:textFill>
            <w14:solidFill>
              <w14:schemeClr w14:val="tx1"/>
            </w14:solidFill>
          </w14:textFill>
        </w:rPr>
      </w:pPr>
      <w:r>
        <w:rPr>
          <w:rFonts w:ascii="仿宋_GB2312" w:hAnsi="仿宋_GB2312" w:cs="仿宋_GB2312"/>
          <w:color w:val="000000" w:themeColor="text1"/>
          <w:szCs w:val="32"/>
          <w14:textFill>
            <w14:solidFill>
              <w14:schemeClr w14:val="tx1"/>
            </w14:solidFill>
          </w14:textFill>
        </w:rPr>
        <w:t>留学回国人员可以根据自身情况应聘符合条件的岗位。</w:t>
      </w:r>
    </w:p>
    <w:p>
      <w:pPr>
        <w:keepNext w:val="0"/>
        <w:keepLines w:val="0"/>
        <w:pageBreakBefore w:val="0"/>
        <w:widowControl w:val="0"/>
        <w:kinsoku/>
        <w:wordWrap/>
        <w:overflowPunct/>
        <w:topLinePunct w:val="0"/>
        <w:bidi w:val="0"/>
        <w:spacing w:line="600" w:lineRule="exact"/>
        <w:ind w:firstLine="665"/>
        <w:textAlignment w:val="auto"/>
        <w:rPr>
          <w:rFonts w:ascii="仿宋_GB2312" w:hAnsi="仿宋_GB2312" w:cs="仿宋_GB2312"/>
          <w:color w:val="000000" w:themeColor="text1"/>
          <w:szCs w:val="32"/>
          <w14:textFill>
            <w14:solidFill>
              <w14:schemeClr w14:val="tx1"/>
            </w14:solidFill>
          </w14:textFill>
        </w:rPr>
      </w:pPr>
      <w:r>
        <w:rPr>
          <w:rFonts w:ascii="仿宋_GB2312" w:hAnsi="仿宋_GB2312" w:cs="仿宋_GB2312"/>
          <w:color w:val="000000" w:themeColor="text1"/>
          <w:szCs w:val="32"/>
          <w14:textFill>
            <w14:solidFill>
              <w14:schemeClr w14:val="tx1"/>
            </w14:solidFill>
          </w14:textFill>
        </w:rPr>
        <w:t>留学回国人员应聘的，除需提供《简章》中规定的相关材料外，还要提供国家教育部门的学历学位认证</w:t>
      </w:r>
      <w:r>
        <w:rPr>
          <w:rFonts w:hint="eastAsia" w:ascii="仿宋_GB2312" w:hAnsi="仿宋_GB2312" w:cs="仿宋_GB2312"/>
          <w:color w:val="000000" w:themeColor="text1"/>
          <w:szCs w:val="32"/>
          <w14:textFill>
            <w14:solidFill>
              <w14:schemeClr w14:val="tx1"/>
            </w14:solidFill>
          </w14:textFill>
        </w:rPr>
        <w:t>材料</w:t>
      </w:r>
      <w:r>
        <w:rPr>
          <w:rFonts w:ascii="仿宋_GB2312" w:hAnsi="仿宋_GB2312" w:cs="仿宋_GB2312"/>
          <w:color w:val="000000" w:themeColor="text1"/>
          <w:szCs w:val="32"/>
          <w14:textFill>
            <w14:solidFill>
              <w14:schemeClr w14:val="tx1"/>
            </w14:solidFill>
          </w14:textFill>
        </w:rPr>
        <w:t>。应聘人员可登录教育部留学服务中心网站（http://www.cscse.edu.cn）查询认证的有关要求和程序。</w:t>
      </w:r>
      <w:bookmarkStart w:id="0" w:name="_GoBack"/>
      <w:bookmarkEnd w:id="0"/>
    </w:p>
    <w:p>
      <w:pPr>
        <w:keepNext w:val="0"/>
        <w:keepLines w:val="0"/>
        <w:pageBreakBefore w:val="0"/>
        <w:widowControl w:val="0"/>
        <w:kinsoku/>
        <w:wordWrap/>
        <w:overflowPunct/>
        <w:topLinePunct w:val="0"/>
        <w:bidi w:val="0"/>
        <w:snapToGrid w:val="0"/>
        <w:spacing w:line="600" w:lineRule="exact"/>
        <w:ind w:firstLine="624" w:firstLineChars="200"/>
        <w:textAlignment w:val="auto"/>
        <w:rPr>
          <w:rFonts w:eastAsia="楷体_GB2312"/>
          <w:b/>
          <w:color w:val="000000" w:themeColor="text1"/>
          <w:szCs w:val="32"/>
          <w14:textFill>
            <w14:solidFill>
              <w14:schemeClr w14:val="tx1"/>
            </w14:solidFill>
          </w14:textFill>
        </w:rPr>
      </w:pPr>
      <w:r>
        <w:rPr>
          <w:rFonts w:hint="eastAsia"/>
          <w:b/>
          <w:color w:val="000000" w:themeColor="text1"/>
          <w:szCs w:val="32"/>
          <w14:textFill>
            <w14:solidFill>
              <w14:schemeClr w14:val="tx1"/>
            </w14:solidFill>
          </w14:textFill>
        </w:rPr>
        <w:t>4</w:t>
      </w:r>
      <w:r>
        <w:rPr>
          <w:b/>
          <w:color w:val="000000" w:themeColor="text1"/>
          <w:szCs w:val="32"/>
          <w14:textFill>
            <w14:solidFill>
              <w14:schemeClr w14:val="tx1"/>
            </w14:solidFill>
          </w14:textFill>
        </w:rPr>
        <w:t>、</w:t>
      </w:r>
      <w:r>
        <w:rPr>
          <w:rFonts w:eastAsia="楷体_GB2312"/>
          <w:b/>
          <w:color w:val="000000" w:themeColor="text1"/>
          <w:szCs w:val="32"/>
          <w14:textFill>
            <w14:solidFill>
              <w14:schemeClr w14:val="tx1"/>
            </w14:solidFill>
          </w14:textFill>
        </w:rPr>
        <w:t>对学历学位及相关证书取得时间有什么要求？</w:t>
      </w:r>
    </w:p>
    <w:p>
      <w:pPr>
        <w:keepNext w:val="0"/>
        <w:keepLines w:val="0"/>
        <w:pageBreakBefore w:val="0"/>
        <w:widowControl w:val="0"/>
        <w:kinsoku/>
        <w:wordWrap/>
        <w:overflowPunct/>
        <w:topLinePunct w:val="0"/>
        <w:bidi w:val="0"/>
        <w:spacing w:line="600" w:lineRule="exact"/>
        <w:ind w:firstLine="468" w:firstLineChars="150"/>
        <w:textAlignment w:val="auto"/>
        <w:rPr>
          <w:rFonts w:hint="eastAsia" w:ascii="仿宋_GB2312" w:hAnsi="仿宋_GB2312" w:cs="仿宋_GB2312"/>
          <w:color w:val="000000" w:themeColor="text1"/>
          <w:szCs w:val="32"/>
          <w14:textFill>
            <w14:solidFill>
              <w14:schemeClr w14:val="tx1"/>
            </w14:solidFill>
          </w14:textFill>
        </w:rPr>
        <w:sectPr>
          <w:footerReference r:id="rId3" w:type="default"/>
          <w:footerReference r:id="rId4" w:type="even"/>
          <w:pgSz w:w="11906" w:h="16838"/>
          <w:pgMar w:top="2098" w:right="1588" w:bottom="1588" w:left="1588" w:header="851" w:footer="992" w:gutter="0"/>
          <w:pgNumType w:fmt="decimal" w:start="1"/>
          <w:cols w:space="425" w:num="1"/>
          <w:docGrid w:type="linesAndChars" w:linePitch="597" w:charSpace="-1683"/>
        </w:sectPr>
      </w:pPr>
    </w:p>
    <w:p>
      <w:pPr>
        <w:keepNext w:val="0"/>
        <w:keepLines w:val="0"/>
        <w:pageBreakBefore w:val="0"/>
        <w:widowControl w:val="0"/>
        <w:kinsoku/>
        <w:wordWrap/>
        <w:overflowPunct/>
        <w:topLinePunct w:val="0"/>
        <w:bidi w:val="0"/>
        <w:spacing w:line="600" w:lineRule="exact"/>
        <w:ind w:firstLine="468" w:firstLineChars="150"/>
        <w:textAlignment w:val="auto"/>
        <w:rPr>
          <w:rFonts w:hint="eastAsia"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202</w:t>
      </w:r>
      <w:r>
        <w:rPr>
          <w:rFonts w:hint="eastAsia" w:ascii="仿宋_GB2312" w:hAnsi="仿宋_GB2312" w:cs="仿宋_GB2312"/>
          <w:color w:val="000000" w:themeColor="text1"/>
          <w:szCs w:val="32"/>
          <w:lang w:val="en-US" w:eastAsia="zh-CN"/>
          <w14:textFill>
            <w14:solidFill>
              <w14:schemeClr w14:val="tx1"/>
            </w14:solidFill>
          </w14:textFill>
        </w:rPr>
        <w:t>6</w:t>
      </w:r>
      <w:r>
        <w:rPr>
          <w:rFonts w:hint="eastAsia" w:ascii="仿宋_GB2312" w:hAnsi="仿宋_GB2312" w:cs="仿宋_GB2312"/>
          <w:color w:val="000000" w:themeColor="text1"/>
          <w:szCs w:val="32"/>
          <w14:textFill>
            <w14:solidFill>
              <w14:schemeClr w14:val="tx1"/>
            </w14:solidFill>
          </w14:textFill>
        </w:rPr>
        <w:t>年应届毕业生的学历、学位及相关证书，须在202</w:t>
      </w:r>
      <w:r>
        <w:rPr>
          <w:rFonts w:hint="eastAsia" w:ascii="仿宋_GB2312" w:hAnsi="仿宋_GB2312" w:cs="仿宋_GB2312"/>
          <w:color w:val="000000" w:themeColor="text1"/>
          <w:szCs w:val="32"/>
          <w:lang w:val="en-US" w:eastAsia="zh-CN"/>
          <w14:textFill>
            <w14:solidFill>
              <w14:schemeClr w14:val="tx1"/>
            </w14:solidFill>
          </w14:textFill>
        </w:rPr>
        <w:t>6</w:t>
      </w:r>
      <w:r>
        <w:rPr>
          <w:rFonts w:hint="eastAsia" w:ascii="仿宋_GB2312" w:hAnsi="仿宋_GB2312" w:cs="仿宋_GB2312"/>
          <w:color w:val="000000" w:themeColor="text1"/>
          <w:szCs w:val="32"/>
          <w14:textFill>
            <w14:solidFill>
              <w14:schemeClr w14:val="tx1"/>
            </w14:solidFill>
          </w14:textFill>
        </w:rPr>
        <w:t>年7月31日前取得；其他人员应聘的，须在</w:t>
      </w:r>
      <w:r>
        <w:rPr>
          <w:rFonts w:hint="eastAsia" w:ascii="仿宋_GB2312" w:hAnsi="仿宋_GB2312" w:cs="仿宋_GB2312"/>
          <w:color w:val="000000" w:themeColor="text1"/>
          <w:szCs w:val="32"/>
          <w:highlight w:val="none"/>
          <w14:textFill>
            <w14:solidFill>
              <w14:schemeClr w14:val="tx1"/>
            </w14:solidFill>
          </w14:textFill>
        </w:rPr>
        <w:t>202</w:t>
      </w:r>
      <w:r>
        <w:rPr>
          <w:rFonts w:hint="eastAsia" w:ascii="仿宋_GB2312" w:hAnsi="仿宋_GB2312" w:cs="仿宋_GB2312"/>
          <w:color w:val="000000" w:themeColor="text1"/>
          <w:szCs w:val="32"/>
          <w:highlight w:val="none"/>
          <w:lang w:val="en-US" w:eastAsia="zh-CN"/>
          <w14:textFill>
            <w14:solidFill>
              <w14:schemeClr w14:val="tx1"/>
            </w14:solidFill>
          </w14:textFill>
        </w:rPr>
        <w:t>6</w:t>
      </w:r>
      <w:r>
        <w:rPr>
          <w:rFonts w:hint="eastAsia" w:ascii="仿宋_GB2312" w:hAnsi="仿宋_GB2312" w:cs="仿宋_GB2312"/>
          <w:color w:val="000000" w:themeColor="text1"/>
          <w:szCs w:val="32"/>
          <w:highlight w:val="none"/>
          <w14:textFill>
            <w14:solidFill>
              <w14:schemeClr w14:val="tx1"/>
            </w14:solidFill>
          </w14:textFill>
        </w:rPr>
        <w:t>年</w:t>
      </w:r>
      <w:r>
        <w:rPr>
          <w:rFonts w:hint="eastAsia" w:ascii="仿宋_GB2312" w:hAnsi="仿宋_GB2312" w:cs="仿宋_GB2312"/>
          <w:color w:val="000000" w:themeColor="text1"/>
          <w:szCs w:val="32"/>
          <w:highlight w:val="none"/>
          <w:lang w:val="en-US" w:eastAsia="zh-CN"/>
          <w14:textFill>
            <w14:solidFill>
              <w14:schemeClr w14:val="tx1"/>
            </w14:solidFill>
          </w14:textFill>
        </w:rPr>
        <w:t>7</w:t>
      </w:r>
      <w:r>
        <w:rPr>
          <w:rFonts w:hint="eastAsia" w:ascii="仿宋_GB2312" w:hAnsi="仿宋_GB2312" w:cs="仿宋_GB2312"/>
          <w:color w:val="000000" w:themeColor="text1"/>
          <w:szCs w:val="32"/>
          <w:highlight w:val="none"/>
          <w14:textFill>
            <w14:solidFill>
              <w14:schemeClr w14:val="tx1"/>
            </w14:solidFill>
          </w14:textFill>
        </w:rPr>
        <w:t>月</w:t>
      </w:r>
      <w:r>
        <w:rPr>
          <w:rFonts w:hint="eastAsia" w:ascii="仿宋_GB2312" w:hAnsi="仿宋_GB2312" w:cs="仿宋_GB2312"/>
          <w:color w:val="000000" w:themeColor="text1"/>
          <w:szCs w:val="32"/>
          <w:highlight w:val="none"/>
          <w:lang w:val="en-US" w:eastAsia="zh-CN"/>
          <w14:textFill>
            <w14:solidFill>
              <w14:schemeClr w14:val="tx1"/>
            </w14:solidFill>
          </w14:textFill>
        </w:rPr>
        <w:t>8日</w:t>
      </w:r>
      <w:r>
        <w:rPr>
          <w:rFonts w:hint="eastAsia" w:ascii="仿宋_GB2312" w:hAnsi="仿宋_GB2312" w:cs="仿宋_GB2312"/>
          <w:color w:val="000000" w:themeColor="text1"/>
          <w:szCs w:val="32"/>
          <w14:textFill>
            <w14:solidFill>
              <w14:schemeClr w14:val="tx1"/>
            </w14:solidFill>
          </w14:textFill>
        </w:rPr>
        <w:t>前取得国家承认的学历、学位及相关证书。</w:t>
      </w:r>
    </w:p>
    <w:p>
      <w:pPr>
        <w:keepNext w:val="0"/>
        <w:keepLines w:val="0"/>
        <w:pageBreakBefore w:val="0"/>
        <w:widowControl w:val="0"/>
        <w:kinsoku/>
        <w:wordWrap/>
        <w:overflowPunct/>
        <w:topLinePunct w:val="0"/>
        <w:bidi w:val="0"/>
        <w:spacing w:line="600" w:lineRule="exact"/>
        <w:ind w:firstLine="624" w:firstLineChars="200"/>
        <w:textAlignment w:val="auto"/>
        <w:rPr>
          <w:rFonts w:eastAsia="仿宋"/>
          <w:strike/>
          <w:color w:val="000000" w:themeColor="text1"/>
          <w:szCs w:val="32"/>
          <w14:textFill>
            <w14:solidFill>
              <w14:schemeClr w14:val="tx1"/>
            </w14:solidFill>
          </w14:textFill>
        </w:rPr>
      </w:pPr>
      <w:r>
        <w:rPr>
          <w:rFonts w:hint="eastAsia" w:eastAsia="楷体_GB2312"/>
          <w:b/>
          <w:color w:val="000000" w:themeColor="text1"/>
          <w:szCs w:val="32"/>
          <w:lang w:val="en-US" w:eastAsia="zh-CN"/>
          <w14:textFill>
            <w14:solidFill>
              <w14:schemeClr w14:val="tx1"/>
            </w14:solidFill>
          </w14:textFill>
        </w:rPr>
        <w:t>5</w:t>
      </w:r>
      <w:r>
        <w:rPr>
          <w:rFonts w:eastAsia="楷体_GB2312"/>
          <w:b/>
          <w:color w:val="000000" w:themeColor="text1"/>
          <w:szCs w:val="32"/>
          <w14:textFill>
            <w14:solidFill>
              <w14:schemeClr w14:val="tx1"/>
            </w14:solidFill>
          </w14:textFill>
        </w:rPr>
        <w:t>、</w:t>
      </w:r>
      <w:r>
        <w:rPr>
          <w:rFonts w:eastAsia="楷体_GB2312"/>
          <w:b/>
          <w:bCs/>
          <w:color w:val="000000" w:themeColor="text1"/>
          <w:szCs w:val="32"/>
          <w14:textFill>
            <w14:solidFill>
              <w14:schemeClr w14:val="tx1"/>
            </w14:solidFill>
          </w14:textFill>
        </w:rPr>
        <w:t>岗位汇总表中所要求的专业如何理解？</w:t>
      </w:r>
    </w:p>
    <w:p>
      <w:pPr>
        <w:keepNext w:val="0"/>
        <w:keepLines w:val="0"/>
        <w:pageBreakBefore w:val="0"/>
        <w:widowControl w:val="0"/>
        <w:kinsoku/>
        <w:wordWrap/>
        <w:overflowPunct/>
        <w:topLinePunct w:val="0"/>
        <w:bidi w:val="0"/>
        <w:spacing w:line="600" w:lineRule="exact"/>
        <w:ind w:firstLine="624" w:firstLineChars="200"/>
        <w:textAlignment w:val="auto"/>
        <w:rPr>
          <w:rFonts w:ascii="仿宋_GB2312" w:hAnsi="仿宋_GB2312" w:cs="仿宋_GB2312"/>
          <w:color w:val="000000" w:themeColor="text1"/>
          <w:szCs w:val="32"/>
          <w14:textFill>
            <w14:solidFill>
              <w14:schemeClr w14:val="tx1"/>
            </w14:solidFill>
          </w14:textFill>
        </w:rPr>
      </w:pPr>
      <w:r>
        <w:rPr>
          <w:rFonts w:ascii="仿宋_GB2312" w:hAnsi="仿宋_GB2312" w:cs="仿宋_GB2312"/>
          <w:color w:val="000000" w:themeColor="text1"/>
          <w:szCs w:val="32"/>
          <w14:textFill>
            <w14:solidFill>
              <w14:schemeClr w14:val="tx1"/>
            </w14:solidFill>
          </w14:textFill>
        </w:rPr>
        <w:t>岗位汇总表中的专业要求，主要参考教育部制定的现行高等教育专业目录和人社部制定的全国技工院校专业目录设置，以应聘人员所获毕业证或国家承认的学历教育证书上注明的专业为准。其中，应聘人员在普通全日制高等学历教育阶段取得国家承认的辅修专业证书、双学位证书的，可与相应的毕业证书配合使用，依据辅修专业证书、双学位证书注明的专业报考。</w:t>
      </w:r>
    </w:p>
    <w:p>
      <w:pPr>
        <w:keepNext w:val="0"/>
        <w:keepLines w:val="0"/>
        <w:pageBreakBefore w:val="0"/>
        <w:widowControl w:val="0"/>
        <w:kinsoku/>
        <w:wordWrap/>
        <w:overflowPunct/>
        <w:topLinePunct w:val="0"/>
        <w:bidi w:val="0"/>
        <w:spacing w:line="600" w:lineRule="exact"/>
        <w:ind w:firstLine="624" w:firstLineChars="200"/>
        <w:textAlignment w:val="auto"/>
        <w:rPr>
          <w:rFonts w:ascii="仿宋_GB2312" w:hAnsi="仿宋_GB2312" w:cs="仿宋_GB2312"/>
          <w:color w:val="000000" w:themeColor="text1"/>
          <w:szCs w:val="32"/>
          <w14:textFill>
            <w14:solidFill>
              <w14:schemeClr w14:val="tx1"/>
            </w14:solidFill>
          </w14:textFill>
        </w:rPr>
      </w:pPr>
      <w:r>
        <w:rPr>
          <w:rFonts w:hint="eastAsia" w:ascii="Calibri" w:hAnsi="Calibri" w:cs="Times New Roman"/>
          <w:color w:val="000000" w:themeColor="text1"/>
          <w:szCs w:val="32"/>
          <w14:textFill>
            <w14:solidFill>
              <w14:schemeClr w14:val="tx1"/>
            </w14:solidFill>
          </w14:textFill>
        </w:rPr>
        <w:t>招聘岗位</w:t>
      </w:r>
      <w:r>
        <w:rPr>
          <w:rStyle w:val="8"/>
          <w:rFonts w:hint="eastAsia" w:ascii="Times New Roman" w:hAnsi="Times New Roman" w:cs="Times New Roman"/>
          <w:color w:val="000000" w:themeColor="text1"/>
          <w:szCs w:val="32"/>
          <w14:textFill>
            <w14:solidFill>
              <w14:schemeClr w14:val="tx1"/>
            </w14:solidFill>
          </w14:textFill>
        </w:rPr>
        <w:t>在大学本科、研究生</w:t>
      </w:r>
      <w:r>
        <w:rPr>
          <w:rStyle w:val="8"/>
          <w:rFonts w:hint="eastAsia" w:ascii="Times New Roman" w:hAnsi="Times New Roman" w:cs="Times New Roman"/>
          <w:color w:val="000000" w:themeColor="text1"/>
          <w:szCs w:val="32"/>
          <w:lang w:val="en-US" w:eastAsia="zh-CN"/>
          <w14:textFill>
            <w14:solidFill>
              <w14:schemeClr w14:val="tx1"/>
            </w14:solidFill>
          </w14:textFill>
        </w:rPr>
        <w:t>2</w:t>
      </w:r>
      <w:r>
        <w:rPr>
          <w:rStyle w:val="8"/>
          <w:rFonts w:hint="eastAsia" w:ascii="Times New Roman" w:hAnsi="Times New Roman" w:cs="Times New Roman"/>
          <w:color w:val="000000" w:themeColor="text1"/>
          <w:szCs w:val="32"/>
          <w14:textFill>
            <w14:solidFill>
              <w14:schemeClr w14:val="tx1"/>
            </w14:solidFill>
          </w14:textFill>
        </w:rPr>
        <w:t>个教育层次分别明确了对报考者的专业要求，一般报考者符合一个教育层次的专业要求，即可报考该</w:t>
      </w:r>
      <w:r>
        <w:rPr>
          <w:rFonts w:hint="eastAsia" w:ascii="Calibri" w:hAnsi="Calibri" w:cs="Times New Roman"/>
          <w:b/>
          <w:color w:val="000000" w:themeColor="text1"/>
          <w:szCs w:val="32"/>
          <w14:textFill>
            <w14:solidFill>
              <w14:schemeClr w14:val="tx1"/>
            </w14:solidFill>
          </w14:textFill>
        </w:rPr>
        <w:t>岗位</w:t>
      </w:r>
      <w:r>
        <w:rPr>
          <w:rStyle w:val="8"/>
          <w:rFonts w:hint="eastAsia" w:ascii="Times New Roman" w:hAnsi="Times New Roman" w:cs="Times New Roman"/>
          <w:b w:val="0"/>
          <w:color w:val="000000" w:themeColor="text1"/>
          <w:szCs w:val="32"/>
          <w14:textFill>
            <w14:solidFill>
              <w14:schemeClr w14:val="tx1"/>
            </w14:solidFill>
          </w14:textFill>
        </w:rPr>
        <w:t>。</w:t>
      </w:r>
      <w:r>
        <w:rPr>
          <w:rFonts w:hint="eastAsia" w:ascii="Calibri" w:hAnsi="Calibri" w:cs="Times New Roman"/>
          <w:color w:val="000000" w:themeColor="text1"/>
          <w:szCs w:val="32"/>
          <w14:textFill>
            <w14:solidFill>
              <w14:schemeClr w14:val="tx1"/>
            </w14:solidFill>
          </w14:textFill>
        </w:rPr>
        <w:t>招聘岗位</w:t>
      </w:r>
      <w:r>
        <w:rPr>
          <w:rStyle w:val="8"/>
          <w:rFonts w:hint="eastAsia" w:ascii="Times New Roman" w:hAnsi="Times New Roman" w:cs="Times New Roman"/>
          <w:color w:val="000000" w:themeColor="text1"/>
          <w:szCs w:val="32"/>
          <w14:textFill>
            <w14:solidFill>
              <w14:schemeClr w14:val="tx1"/>
            </w14:solidFill>
          </w14:textFill>
        </w:rPr>
        <w:t>另有规定的，须从其规定。</w:t>
      </w:r>
      <w:r>
        <w:rPr>
          <w:rFonts w:hint="eastAsia" w:ascii="仿宋_GB2312" w:hAnsi="仿宋_GB2312" w:cs="仿宋_GB2312"/>
          <w:color w:val="000000" w:themeColor="text1"/>
          <w:szCs w:val="32"/>
          <w14:textFill>
            <w14:solidFill>
              <w14:schemeClr w14:val="tx1"/>
            </w14:solidFill>
          </w14:textFill>
        </w:rPr>
        <w:t>其中，岗位专业要求为“不限”的，即报考者在该教育层次的任何专业均符合要求；专业要求为学科大类、门类的，即该大类、门类所包含的专业均符合要求；专业要求为类、一级学科的，即该类、一级学科所包含的专业或方向均符合要求。其中，202</w:t>
      </w:r>
      <w:r>
        <w:rPr>
          <w:rFonts w:hint="eastAsia" w:ascii="仿宋_GB2312" w:hAnsi="仿宋_GB2312" w:cs="仿宋_GB2312"/>
          <w:color w:val="000000" w:themeColor="text1"/>
          <w:szCs w:val="32"/>
          <w:lang w:val="en-US" w:eastAsia="zh-CN"/>
          <w14:textFill>
            <w14:solidFill>
              <w14:schemeClr w14:val="tx1"/>
            </w14:solidFill>
          </w14:textFill>
        </w:rPr>
        <w:t>6</w:t>
      </w:r>
      <w:r>
        <w:rPr>
          <w:rFonts w:hint="eastAsia" w:ascii="仿宋_GB2312" w:hAnsi="仿宋_GB2312" w:cs="仿宋_GB2312"/>
          <w:color w:val="000000" w:themeColor="text1"/>
          <w:szCs w:val="32"/>
          <w14:textFill>
            <w14:solidFill>
              <w14:schemeClr w14:val="tx1"/>
            </w14:solidFill>
          </w14:textFill>
        </w:rPr>
        <w:t>年国内普通高等学历教育的应届毕业生和同期毕业的留学回国人员</w:t>
      </w:r>
      <w:r>
        <w:rPr>
          <w:rFonts w:ascii="仿宋_GB2312" w:hAnsi="仿宋_GB2312" w:cs="仿宋_GB2312"/>
          <w:color w:val="000000" w:themeColor="text1"/>
          <w:szCs w:val="32"/>
          <w14:textFill>
            <w14:solidFill>
              <w14:schemeClr w14:val="tx1"/>
            </w14:solidFill>
          </w14:textFill>
        </w:rPr>
        <w:t>，可依据于202</w:t>
      </w:r>
      <w:r>
        <w:rPr>
          <w:rFonts w:hint="eastAsia" w:ascii="仿宋_GB2312" w:hAnsi="仿宋_GB2312" w:cs="仿宋_GB2312"/>
          <w:color w:val="000000" w:themeColor="text1"/>
          <w:szCs w:val="32"/>
          <w:lang w:val="en-US" w:eastAsia="zh-CN"/>
          <w14:textFill>
            <w14:solidFill>
              <w14:schemeClr w14:val="tx1"/>
            </w14:solidFill>
          </w14:textFill>
        </w:rPr>
        <w:t>6</w:t>
      </w:r>
      <w:r>
        <w:rPr>
          <w:rFonts w:ascii="仿宋_GB2312" w:hAnsi="仿宋_GB2312" w:cs="仿宋_GB2312"/>
          <w:color w:val="000000" w:themeColor="text1"/>
          <w:szCs w:val="32"/>
          <w14:textFill>
            <w14:solidFill>
              <w14:schemeClr w14:val="tx1"/>
            </w14:solidFill>
          </w14:textFill>
        </w:rPr>
        <w:t>年7月31日前取得的普通高等学历教育和国（境）外留学学历（学位）及相应专业应聘。</w:t>
      </w:r>
    </w:p>
    <w:p>
      <w:pPr>
        <w:keepNext w:val="0"/>
        <w:keepLines w:val="0"/>
        <w:pageBreakBefore w:val="0"/>
        <w:widowControl w:val="0"/>
        <w:kinsoku/>
        <w:wordWrap/>
        <w:overflowPunct/>
        <w:topLinePunct w:val="0"/>
        <w:bidi w:val="0"/>
        <w:spacing w:line="600" w:lineRule="exact"/>
        <w:ind w:firstLine="640"/>
        <w:textAlignment w:val="auto"/>
        <w:rPr>
          <w:rFonts w:ascii="Times New Roman" w:hAnsi="Times New Roman" w:eastAsia="仿宋" w:cs="Times New Roman"/>
          <w:color w:val="000000" w:themeColor="text1"/>
          <w:szCs w:val="32"/>
          <w14:textFill>
            <w14:solidFill>
              <w14:schemeClr w14:val="tx1"/>
            </w14:solidFill>
          </w14:textFill>
        </w:rPr>
      </w:pPr>
      <w:r>
        <w:rPr>
          <w:rFonts w:ascii="Times New Roman" w:hAnsi="Times New Roman" w:eastAsia="仿宋" w:cs="Times New Roman"/>
          <w:color w:val="000000" w:themeColor="text1"/>
          <w:szCs w:val="32"/>
          <w14:textFill>
            <w14:solidFill>
              <w14:schemeClr w14:val="tx1"/>
            </w14:solidFill>
          </w14:textFill>
        </w:rPr>
        <w:t>应聘人员在报名时应如实填写毕业证或学历证书上的专业名称。其中，招聘岗位对研究方向有要求，学历证书的专业名称不能体现研究方向的，则应当补充填写研究方向，并在面试前资格审查时提供相应证明。</w:t>
      </w:r>
    </w:p>
    <w:p>
      <w:pPr>
        <w:keepNext w:val="0"/>
        <w:keepLines w:val="0"/>
        <w:pageBreakBefore w:val="0"/>
        <w:widowControl w:val="0"/>
        <w:kinsoku/>
        <w:wordWrap/>
        <w:overflowPunct/>
        <w:topLinePunct w:val="0"/>
        <w:bidi w:val="0"/>
        <w:spacing w:line="600" w:lineRule="exact"/>
        <w:ind w:firstLine="665"/>
        <w:textAlignment w:val="auto"/>
        <w:rPr>
          <w:rFonts w:ascii="仿宋_GB2312" w:hAnsi="仿宋_GB2312" w:cs="仿宋_GB2312"/>
          <w:color w:val="000000" w:themeColor="text1"/>
          <w:szCs w:val="32"/>
          <w14:textFill>
            <w14:solidFill>
              <w14:schemeClr w14:val="tx1"/>
            </w14:solidFill>
          </w14:textFill>
        </w:rPr>
      </w:pPr>
      <w:r>
        <w:rPr>
          <w:rFonts w:ascii="仿宋_GB2312" w:hAnsi="仿宋_GB2312" w:cs="仿宋_GB2312"/>
          <w:color w:val="000000" w:themeColor="text1"/>
          <w:szCs w:val="32"/>
          <w14:textFill>
            <w14:solidFill>
              <w14:schemeClr w14:val="tx1"/>
            </w14:solidFill>
          </w14:textFill>
        </w:rPr>
        <w:t>特别提醒：鉴于设置专业要求时招聘单位参考的专业目录未能完全涵盖旧专业、新兴学科、国外学科等，请应聘人员及时查阅教育部制定的现行高等教育专业目录和人社部制定的全国技工院校专业目录，核实是否属于参考专业目录中的专业。对于教育部制定的现行高等教育专业目录和人社部制定的全国技工院校专业目录中没有的自设学科（专业）和国（境）外专业，考生在报名时需在备注栏中注明主要课程、研究方向和学习内容等情况，必要时可主动联系招聘单位介绍有关情况，招聘单位将根据岗位专业需求进行审核。</w:t>
      </w:r>
    </w:p>
    <w:p>
      <w:pPr>
        <w:keepNext w:val="0"/>
        <w:keepLines w:val="0"/>
        <w:pageBreakBefore w:val="0"/>
        <w:widowControl w:val="0"/>
        <w:kinsoku/>
        <w:wordWrap/>
        <w:overflowPunct/>
        <w:topLinePunct w:val="0"/>
        <w:bidi w:val="0"/>
        <w:spacing w:line="600" w:lineRule="exact"/>
        <w:ind w:firstLine="640"/>
        <w:textAlignment w:val="auto"/>
        <w:rPr>
          <w:rFonts w:ascii="仿宋_GB2312" w:hAnsi="仿宋_GB2312" w:cs="仿宋_GB2312"/>
          <w:color w:val="000000" w:themeColor="text1"/>
          <w:szCs w:val="32"/>
          <w14:textFill>
            <w14:solidFill>
              <w14:schemeClr w14:val="tx1"/>
            </w14:solidFill>
          </w14:textFill>
        </w:rPr>
      </w:pPr>
      <w:r>
        <w:rPr>
          <w:rFonts w:ascii="仿宋_GB2312" w:hAnsi="仿宋_GB2312" w:cs="仿宋_GB2312"/>
          <w:color w:val="000000" w:themeColor="text1"/>
          <w:szCs w:val="32"/>
          <w14:textFill>
            <w14:solidFill>
              <w14:schemeClr w14:val="tx1"/>
            </w14:solidFill>
          </w14:textFill>
        </w:rPr>
        <w:t>教育部办公厅《关于统筹全日制和非全日制研究生管理工作的通知》（教研厅〔2016〕2号）和《教育部办公厅等五部门关于进一步做好非全日制研究生就业工作的通知》（教研厅函〔2019〕1号）规定，自2016年12月1日后录取的非全日制研究生，由国家统一下达招生计划，与全日制研究生考试招生执行相同的政策和标准，培养质量坚持同一要求，学历学位证书具有同等法律地位和相同效力，享有平等就业机会。符合上述规定的，报名时与全日制研究生同等对待。</w:t>
      </w:r>
    </w:p>
    <w:p>
      <w:pPr>
        <w:keepNext w:val="0"/>
        <w:keepLines w:val="0"/>
        <w:pageBreakBefore w:val="0"/>
        <w:widowControl w:val="0"/>
        <w:kinsoku/>
        <w:wordWrap/>
        <w:overflowPunct/>
        <w:topLinePunct w:val="0"/>
        <w:bidi w:val="0"/>
        <w:spacing w:line="600" w:lineRule="exact"/>
        <w:ind w:firstLine="624" w:firstLineChars="200"/>
        <w:textAlignment w:val="auto"/>
        <w:rPr>
          <w:rFonts w:ascii="Times New Roman" w:hAnsi="Times New Roman" w:eastAsia="楷体_GB2312" w:cs="Times New Roman"/>
          <w:b/>
          <w:bCs/>
          <w:color w:val="000000" w:themeColor="text1"/>
          <w:szCs w:val="32"/>
          <w14:textFill>
            <w14:solidFill>
              <w14:schemeClr w14:val="tx1"/>
            </w14:solidFill>
          </w14:textFill>
        </w:rPr>
      </w:pPr>
      <w:r>
        <w:rPr>
          <w:rFonts w:hint="eastAsia" w:ascii="Times New Roman" w:hAnsi="Times New Roman" w:eastAsia="楷体_GB2312" w:cs="Times New Roman"/>
          <w:b/>
          <w:bCs/>
          <w:color w:val="000000" w:themeColor="text1"/>
          <w:szCs w:val="32"/>
          <w:lang w:val="en-US" w:eastAsia="zh-CN"/>
          <w14:textFill>
            <w14:solidFill>
              <w14:schemeClr w14:val="tx1"/>
            </w14:solidFill>
          </w14:textFill>
        </w:rPr>
        <w:t>6</w:t>
      </w:r>
      <w:r>
        <w:rPr>
          <w:rFonts w:hint="eastAsia" w:ascii="Times New Roman" w:hAnsi="Times New Roman" w:eastAsia="楷体_GB2312" w:cs="Times New Roman"/>
          <w:b/>
          <w:bCs/>
          <w:color w:val="000000" w:themeColor="text1"/>
          <w:szCs w:val="32"/>
          <w14:textFill>
            <w14:solidFill>
              <w14:schemeClr w14:val="tx1"/>
            </w14:solidFill>
          </w14:textFill>
        </w:rPr>
        <w:t>、</w:t>
      </w:r>
      <w:r>
        <w:rPr>
          <w:rFonts w:ascii="Times New Roman" w:hAnsi="Times New Roman" w:eastAsia="楷体_GB2312" w:cs="Times New Roman"/>
          <w:b/>
          <w:bCs/>
          <w:color w:val="000000" w:themeColor="text1"/>
          <w:szCs w:val="32"/>
          <w14:textFill>
            <w14:solidFill>
              <w14:schemeClr w14:val="tx1"/>
            </w14:solidFill>
          </w14:textFill>
        </w:rPr>
        <w:t>本次招聘中的有效身份证件指的是什么？</w:t>
      </w:r>
    </w:p>
    <w:p>
      <w:pPr>
        <w:keepNext w:val="0"/>
        <w:keepLines w:val="0"/>
        <w:pageBreakBefore w:val="0"/>
        <w:widowControl w:val="0"/>
        <w:kinsoku/>
        <w:wordWrap/>
        <w:overflowPunct/>
        <w:topLinePunct w:val="0"/>
        <w:bidi w:val="0"/>
        <w:spacing w:line="600" w:lineRule="exact"/>
        <w:ind w:firstLine="665"/>
        <w:textAlignment w:val="auto"/>
        <w:rPr>
          <w:rFonts w:ascii="仿宋_GB2312" w:hAnsi="仿宋_GB2312" w:cs="仿宋_GB2312"/>
          <w:color w:val="000000" w:themeColor="text1"/>
          <w:szCs w:val="32"/>
          <w14:textFill>
            <w14:solidFill>
              <w14:schemeClr w14:val="tx1"/>
            </w14:solidFill>
          </w14:textFill>
        </w:rPr>
      </w:pPr>
      <w:r>
        <w:rPr>
          <w:rFonts w:ascii="仿宋_GB2312" w:hAnsi="仿宋_GB2312" w:cs="仿宋_GB2312"/>
          <w:color w:val="000000" w:themeColor="text1"/>
          <w:szCs w:val="32"/>
          <w14:textFill>
            <w14:solidFill>
              <w14:schemeClr w14:val="tx1"/>
            </w14:solidFill>
          </w14:textFill>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pPr>
        <w:keepNext w:val="0"/>
        <w:keepLines w:val="0"/>
        <w:pageBreakBefore w:val="0"/>
        <w:widowControl w:val="0"/>
        <w:kinsoku/>
        <w:wordWrap/>
        <w:overflowPunct/>
        <w:topLinePunct w:val="0"/>
        <w:bidi w:val="0"/>
        <w:snapToGrid w:val="0"/>
        <w:spacing w:line="600" w:lineRule="exact"/>
        <w:ind w:firstLine="612" w:firstLineChars="196"/>
        <w:textAlignment w:val="auto"/>
        <w:rPr>
          <w:rFonts w:ascii="Calibri" w:hAnsi="Calibri" w:eastAsia="楷体_GB2312" w:cs="Times New Roman"/>
          <w:b/>
          <w:color w:val="000000" w:themeColor="text1"/>
          <w:szCs w:val="32"/>
          <w14:textFill>
            <w14:solidFill>
              <w14:schemeClr w14:val="tx1"/>
            </w14:solidFill>
          </w14:textFill>
        </w:rPr>
      </w:pPr>
      <w:r>
        <w:rPr>
          <w:rFonts w:hint="eastAsia" w:eastAsia="楷体_GB2312"/>
          <w:b/>
          <w:color w:val="000000" w:themeColor="text1"/>
          <w:szCs w:val="32"/>
          <w:lang w:val="en-US" w:eastAsia="zh-CN"/>
          <w14:textFill>
            <w14:solidFill>
              <w14:schemeClr w14:val="tx1"/>
            </w14:solidFill>
          </w14:textFill>
        </w:rPr>
        <w:t>7</w:t>
      </w:r>
      <w:r>
        <w:rPr>
          <w:rFonts w:hint="eastAsia" w:eastAsia="楷体_GB2312"/>
          <w:b/>
          <w:color w:val="000000" w:themeColor="text1"/>
          <w:szCs w:val="32"/>
          <w14:textFill>
            <w14:solidFill>
              <w14:schemeClr w14:val="tx1"/>
            </w14:solidFill>
          </w14:textFill>
        </w:rPr>
        <w:t>、</w:t>
      </w:r>
      <w:r>
        <w:rPr>
          <w:rFonts w:ascii="Calibri" w:hAnsi="Calibri" w:eastAsia="楷体_GB2312" w:cs="Times New Roman"/>
          <w:b/>
          <w:color w:val="000000" w:themeColor="text1"/>
          <w:szCs w:val="32"/>
          <w14:textFill>
            <w14:solidFill>
              <w14:schemeClr w14:val="tx1"/>
            </w14:solidFill>
          </w14:textFill>
        </w:rPr>
        <w:t>网上填写报名信息时应注意什么？</w:t>
      </w:r>
    </w:p>
    <w:p>
      <w:pPr>
        <w:keepNext w:val="0"/>
        <w:keepLines w:val="0"/>
        <w:pageBreakBefore w:val="0"/>
        <w:widowControl w:val="0"/>
        <w:kinsoku/>
        <w:wordWrap/>
        <w:overflowPunct/>
        <w:topLinePunct w:val="0"/>
        <w:bidi w:val="0"/>
        <w:spacing w:line="600" w:lineRule="exact"/>
        <w:ind w:firstLine="665"/>
        <w:textAlignment w:val="auto"/>
        <w:rPr>
          <w:rFonts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报名时，应聘人员要认真阅读网上报名系统有关要求和诚信承诺书，提交的报名申请材料必须真实、准确、完整，能够体现报考岗位的要求。因提交报名申请材料不准确、不完整、不符合要求，影响网上报名的，由应聘人员本人承担相应后果。应聘人员的申请材料、信息不实或者不符合报名条件的，一经查实，即取消报考资格。对伪造、变造有关证件、材料、信息，骗取考试资格的，按照有关规定处理。</w:t>
      </w:r>
    </w:p>
    <w:p>
      <w:pPr>
        <w:keepNext w:val="0"/>
        <w:keepLines w:val="0"/>
        <w:pageBreakBefore w:val="0"/>
        <w:widowControl w:val="0"/>
        <w:kinsoku/>
        <w:wordWrap/>
        <w:overflowPunct/>
        <w:topLinePunct w:val="0"/>
        <w:bidi w:val="0"/>
        <w:spacing w:line="600" w:lineRule="exact"/>
        <w:ind w:firstLine="665"/>
        <w:textAlignment w:val="auto"/>
        <w:rPr>
          <w:rFonts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网上报名系统的表项中未能涵盖报考岗位所要求资格条件的，务必在“备注栏”中如实填写。家庭成员及其主要社会关系，必须填写姓名、工作单位及职务。学习和工作经历，必须从高中阶段开始填写。</w:t>
      </w:r>
    </w:p>
    <w:p>
      <w:pPr>
        <w:keepNext w:val="0"/>
        <w:keepLines w:val="0"/>
        <w:pageBreakBefore w:val="0"/>
        <w:widowControl w:val="0"/>
        <w:kinsoku/>
        <w:wordWrap/>
        <w:overflowPunct/>
        <w:topLinePunct w:val="0"/>
        <w:bidi w:val="0"/>
        <w:spacing w:line="600" w:lineRule="exact"/>
        <w:ind w:firstLine="665"/>
        <w:textAlignment w:val="auto"/>
        <w:rPr>
          <w:rFonts w:ascii="仿宋_GB2312" w:hAnsi="仿宋_GB2312" w:cs="仿宋_GB2312"/>
          <w:color w:val="000000" w:themeColor="text1"/>
          <w:szCs w:val="32"/>
          <w14:textFill>
            <w14:solidFill>
              <w14:schemeClr w14:val="tx1"/>
            </w14:solidFill>
          </w14:textFill>
        </w:rPr>
      </w:pPr>
      <w:r>
        <w:rPr>
          <w:rFonts w:hint="eastAsia" w:ascii="Times New Roman" w:hAnsi="Times New Roman" w:cs="Times New Roman"/>
          <w:color w:val="000000" w:themeColor="text1"/>
          <w:szCs w:val="32"/>
          <w14:textFill>
            <w14:solidFill>
              <w14:schemeClr w14:val="tx1"/>
            </w14:solidFill>
          </w14:textFill>
        </w:rPr>
        <w:t>参考往年情况，报名初始阶段人数较少，资格</w:t>
      </w:r>
      <w:r>
        <w:rPr>
          <w:rFonts w:hint="eastAsia" w:ascii="Calibri" w:hAnsi="Calibri" w:cs="Times New Roman"/>
          <w:color w:val="000000" w:themeColor="text1"/>
          <w:szCs w:val="32"/>
          <w14:textFill>
            <w14:solidFill>
              <w14:schemeClr w14:val="tx1"/>
            </w14:solidFill>
          </w14:textFill>
        </w:rPr>
        <w:t>审查</w:t>
      </w:r>
      <w:r>
        <w:rPr>
          <w:rFonts w:hint="eastAsia" w:ascii="Times New Roman" w:hAnsi="Times New Roman" w:cs="Times New Roman"/>
          <w:color w:val="000000" w:themeColor="text1"/>
          <w:szCs w:val="32"/>
          <w14:textFill>
            <w14:solidFill>
              <w14:schemeClr w14:val="tx1"/>
            </w14:solidFill>
          </w14:textFill>
        </w:rPr>
        <w:t>速度较快，报名最后阶段尤其是最后一天报名集中，届时资格</w:t>
      </w:r>
      <w:r>
        <w:rPr>
          <w:rFonts w:hint="eastAsia" w:ascii="Calibri" w:hAnsi="Calibri" w:cs="Times New Roman"/>
          <w:color w:val="000000" w:themeColor="text1"/>
          <w:szCs w:val="32"/>
          <w14:textFill>
            <w14:solidFill>
              <w14:schemeClr w14:val="tx1"/>
            </w14:solidFill>
          </w14:textFill>
        </w:rPr>
        <w:t>审查</w:t>
      </w:r>
      <w:r>
        <w:rPr>
          <w:rFonts w:hint="eastAsia" w:ascii="Times New Roman" w:hAnsi="Times New Roman" w:cs="Times New Roman"/>
          <w:color w:val="000000" w:themeColor="text1"/>
          <w:szCs w:val="32"/>
          <w14:textFill>
            <w14:solidFill>
              <w14:schemeClr w14:val="tx1"/>
            </w14:solidFill>
          </w14:textFill>
        </w:rPr>
        <w:t>速度将有所下降。建议</w:t>
      </w:r>
      <w:r>
        <w:rPr>
          <w:rFonts w:hint="eastAsia" w:ascii="Calibri" w:hAnsi="Calibri" w:cs="Times New Roman"/>
          <w:color w:val="000000" w:themeColor="text1"/>
          <w:szCs w:val="32"/>
          <w14:textFill>
            <w14:solidFill>
              <w14:schemeClr w14:val="tx1"/>
            </w14:solidFill>
          </w14:textFill>
        </w:rPr>
        <w:t>应聘人员</w:t>
      </w:r>
      <w:r>
        <w:rPr>
          <w:rFonts w:hint="eastAsia" w:ascii="Times New Roman" w:hAnsi="Times New Roman" w:cs="Times New Roman"/>
          <w:color w:val="000000" w:themeColor="text1"/>
          <w:szCs w:val="32"/>
          <w14:textFill>
            <w14:solidFill>
              <w14:schemeClr w14:val="tx1"/>
            </w14:solidFill>
          </w14:textFill>
        </w:rPr>
        <w:t>合理安排报名时间，根据本人的专业、意愿和职业规划等尽早报名，尽量在网速较快的环境报名，尽量避免后期集中报名，以免错失报名机会。</w:t>
      </w:r>
    </w:p>
    <w:p>
      <w:pPr>
        <w:pStyle w:val="76"/>
        <w:keepNext w:val="0"/>
        <w:keepLines w:val="0"/>
        <w:pageBreakBefore w:val="0"/>
        <w:widowControl w:val="0"/>
        <w:kinsoku/>
        <w:wordWrap/>
        <w:overflowPunct/>
        <w:topLinePunct w:val="0"/>
        <w:bidi w:val="0"/>
        <w:spacing w:line="600" w:lineRule="exact"/>
        <w:ind w:firstLine="624"/>
        <w:textAlignment w:val="auto"/>
        <w:rPr>
          <w:rFonts w:ascii="Times New Roman" w:eastAsia="楷体_GB2312"/>
          <w:b/>
          <w:color w:val="000000" w:themeColor="text1"/>
          <w:sz w:val="32"/>
          <w:szCs w:val="32"/>
          <w14:textFill>
            <w14:solidFill>
              <w14:schemeClr w14:val="tx1"/>
            </w14:solidFill>
          </w14:textFill>
        </w:rPr>
      </w:pPr>
      <w:r>
        <w:rPr>
          <w:rFonts w:hint="eastAsia" w:ascii="Times New Roman" w:eastAsia="楷体_GB2312"/>
          <w:b/>
          <w:color w:val="000000" w:themeColor="text1"/>
          <w:sz w:val="32"/>
          <w:szCs w:val="32"/>
          <w:lang w:val="en-US" w:eastAsia="zh-CN"/>
          <w14:textFill>
            <w14:solidFill>
              <w14:schemeClr w14:val="tx1"/>
            </w14:solidFill>
          </w14:textFill>
        </w:rPr>
        <w:t>8</w:t>
      </w:r>
      <w:r>
        <w:rPr>
          <w:rFonts w:hint="eastAsia" w:ascii="Times New Roman" w:eastAsia="楷体_GB2312"/>
          <w:b/>
          <w:color w:val="000000" w:themeColor="text1"/>
          <w:sz w:val="32"/>
          <w:szCs w:val="32"/>
          <w14:textFill>
            <w14:solidFill>
              <w14:schemeClr w14:val="tx1"/>
            </w14:solidFill>
          </w14:textFill>
        </w:rPr>
        <w:t>、应聘人员在网上提供的照片有什么要求？</w:t>
      </w:r>
    </w:p>
    <w:p>
      <w:pPr>
        <w:keepNext w:val="0"/>
        <w:keepLines w:val="0"/>
        <w:pageBreakBefore w:val="0"/>
        <w:widowControl w:val="0"/>
        <w:kinsoku/>
        <w:wordWrap/>
        <w:overflowPunct/>
        <w:topLinePunct w:val="0"/>
        <w:bidi w:val="0"/>
        <w:spacing w:line="600" w:lineRule="exact"/>
        <w:ind w:firstLine="665"/>
        <w:textAlignment w:val="auto"/>
        <w:rPr>
          <w:rFonts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应聘人员在网上报名时提供的照片，必须是1寸近期正面免冠证件照片，并且与进入面试后资格审查时所提供的照片同一底版。</w:t>
      </w:r>
    </w:p>
    <w:p>
      <w:pPr>
        <w:pStyle w:val="76"/>
        <w:keepNext w:val="0"/>
        <w:keepLines w:val="0"/>
        <w:pageBreakBefore w:val="0"/>
        <w:widowControl w:val="0"/>
        <w:kinsoku/>
        <w:wordWrap/>
        <w:overflowPunct/>
        <w:topLinePunct w:val="0"/>
        <w:bidi w:val="0"/>
        <w:spacing w:line="600" w:lineRule="exact"/>
        <w:ind w:firstLine="624"/>
        <w:textAlignment w:val="auto"/>
        <w:rPr>
          <w:rFonts w:ascii="Times New Roman" w:eastAsia="楷体_GB2312"/>
          <w:b/>
          <w:color w:val="000000" w:themeColor="text1"/>
          <w:sz w:val="32"/>
          <w:szCs w:val="32"/>
          <w14:textFill>
            <w14:solidFill>
              <w14:schemeClr w14:val="tx1"/>
            </w14:solidFill>
          </w14:textFill>
        </w:rPr>
      </w:pPr>
      <w:r>
        <w:rPr>
          <w:rFonts w:hint="eastAsia" w:ascii="Times New Roman" w:eastAsia="楷体_GB2312"/>
          <w:b/>
          <w:color w:val="000000" w:themeColor="text1"/>
          <w:sz w:val="32"/>
          <w:szCs w:val="32"/>
          <w:lang w:val="en-US" w:eastAsia="zh-CN"/>
          <w14:textFill>
            <w14:solidFill>
              <w14:schemeClr w14:val="tx1"/>
            </w14:solidFill>
          </w14:textFill>
        </w:rPr>
        <w:t>9</w:t>
      </w:r>
      <w:r>
        <w:rPr>
          <w:rFonts w:hint="eastAsia" w:ascii="Times New Roman" w:eastAsia="楷体_GB2312"/>
          <w:b/>
          <w:color w:val="000000" w:themeColor="text1"/>
          <w:sz w:val="32"/>
          <w:szCs w:val="32"/>
          <w14:textFill>
            <w14:solidFill>
              <w14:schemeClr w14:val="tx1"/>
            </w14:solidFill>
          </w14:textFill>
        </w:rPr>
        <w:t>、对招聘岗位资格条件有疑问的如何咨询？</w:t>
      </w:r>
    </w:p>
    <w:p>
      <w:pPr>
        <w:keepNext w:val="0"/>
        <w:keepLines w:val="0"/>
        <w:pageBreakBefore w:val="0"/>
        <w:widowControl w:val="0"/>
        <w:kinsoku/>
        <w:wordWrap/>
        <w:overflowPunct/>
        <w:topLinePunct w:val="0"/>
        <w:bidi w:val="0"/>
        <w:snapToGrid w:val="0"/>
        <w:spacing w:line="600" w:lineRule="exact"/>
        <w:ind w:firstLine="624" w:firstLineChars="200"/>
        <w:textAlignment w:val="auto"/>
        <w:rPr>
          <w:rFonts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对招聘岗位资格条件和其他内容有疑问的，请与招聘单位直接联系（招聘单位咨询电话详见《岗位汇总表》）。</w:t>
      </w:r>
    </w:p>
    <w:p>
      <w:pPr>
        <w:pStyle w:val="76"/>
        <w:keepNext w:val="0"/>
        <w:keepLines w:val="0"/>
        <w:pageBreakBefore w:val="0"/>
        <w:widowControl w:val="0"/>
        <w:kinsoku/>
        <w:wordWrap/>
        <w:overflowPunct/>
        <w:topLinePunct w:val="0"/>
        <w:bidi w:val="0"/>
        <w:spacing w:line="600" w:lineRule="exact"/>
        <w:ind w:firstLine="624"/>
        <w:textAlignment w:val="auto"/>
        <w:rPr>
          <w:rFonts w:ascii="Times New Roman" w:eastAsia="楷体_GB2312"/>
          <w:b/>
          <w:color w:val="000000" w:themeColor="text1"/>
          <w:sz w:val="32"/>
          <w:szCs w:val="32"/>
          <w14:textFill>
            <w14:solidFill>
              <w14:schemeClr w14:val="tx1"/>
            </w14:solidFill>
          </w14:textFill>
        </w:rPr>
      </w:pPr>
      <w:r>
        <w:rPr>
          <w:rFonts w:hint="eastAsia" w:ascii="Times New Roman" w:eastAsia="楷体_GB2312"/>
          <w:b/>
          <w:color w:val="000000" w:themeColor="text1"/>
          <w:sz w:val="32"/>
          <w:szCs w:val="32"/>
          <w14:textFill>
            <w14:solidFill>
              <w14:schemeClr w14:val="tx1"/>
            </w14:solidFill>
          </w14:textFill>
        </w:rPr>
        <w:t>1</w:t>
      </w:r>
      <w:r>
        <w:rPr>
          <w:rFonts w:hint="eastAsia" w:ascii="Times New Roman" w:eastAsia="楷体_GB2312"/>
          <w:b/>
          <w:color w:val="000000" w:themeColor="text1"/>
          <w:sz w:val="32"/>
          <w:szCs w:val="32"/>
          <w:lang w:val="en-US" w:eastAsia="zh-CN"/>
          <w14:textFill>
            <w14:solidFill>
              <w14:schemeClr w14:val="tx1"/>
            </w14:solidFill>
          </w14:textFill>
        </w:rPr>
        <w:t>0</w:t>
      </w:r>
      <w:r>
        <w:rPr>
          <w:rFonts w:hint="eastAsia" w:ascii="Times New Roman" w:eastAsia="楷体_GB2312"/>
          <w:b/>
          <w:color w:val="000000" w:themeColor="text1"/>
          <w:sz w:val="32"/>
          <w:szCs w:val="32"/>
          <w14:textFill>
            <w14:solidFill>
              <w14:schemeClr w14:val="tx1"/>
            </w14:solidFill>
          </w14:textFill>
        </w:rPr>
        <w:t>、应聘人员是否可以改报其他岗位？</w:t>
      </w:r>
    </w:p>
    <w:p>
      <w:pPr>
        <w:keepNext w:val="0"/>
        <w:keepLines w:val="0"/>
        <w:pageBreakBefore w:val="0"/>
        <w:widowControl w:val="0"/>
        <w:kinsoku/>
        <w:wordWrap/>
        <w:overflowPunct/>
        <w:topLinePunct w:val="0"/>
        <w:bidi w:val="0"/>
        <w:snapToGrid w:val="0"/>
        <w:spacing w:line="600" w:lineRule="exact"/>
        <w:ind w:firstLine="624" w:firstLineChars="200"/>
        <w:textAlignment w:val="auto"/>
        <w:rPr>
          <w:rFonts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应聘人员在招聘单位资格初审前可更改报考岗位。</w:t>
      </w:r>
    </w:p>
    <w:p>
      <w:pPr>
        <w:keepNext w:val="0"/>
        <w:keepLines w:val="0"/>
        <w:pageBreakBefore w:val="0"/>
        <w:widowControl w:val="0"/>
        <w:kinsoku/>
        <w:wordWrap/>
        <w:overflowPunct/>
        <w:topLinePunct w:val="0"/>
        <w:bidi w:val="0"/>
        <w:snapToGrid w:val="0"/>
        <w:spacing w:line="600" w:lineRule="exact"/>
        <w:ind w:firstLine="624" w:firstLineChars="200"/>
        <w:textAlignment w:val="auto"/>
        <w:rPr>
          <w:rFonts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没有通过招聘单位资格审查的应聘人员，在报名时间截止前可改报其他单位或该单位的其他岗位，但系统自动禁止该应聘人员再次报考曾被拒绝的岗位。</w:t>
      </w:r>
    </w:p>
    <w:p>
      <w:pPr>
        <w:pStyle w:val="76"/>
        <w:keepNext w:val="0"/>
        <w:keepLines w:val="0"/>
        <w:pageBreakBefore w:val="0"/>
        <w:widowControl w:val="0"/>
        <w:kinsoku/>
        <w:wordWrap/>
        <w:overflowPunct/>
        <w:topLinePunct w:val="0"/>
        <w:bidi w:val="0"/>
        <w:spacing w:line="600" w:lineRule="exact"/>
        <w:ind w:firstLine="624"/>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通过招聘单位资格审查的应聘人员，系统自动禁止该应聘人员改报其他岗位。</w:t>
      </w:r>
    </w:p>
    <w:p>
      <w:pPr>
        <w:pStyle w:val="75"/>
        <w:keepNext w:val="0"/>
        <w:keepLines w:val="0"/>
        <w:pageBreakBefore w:val="0"/>
        <w:widowControl w:val="0"/>
        <w:kinsoku/>
        <w:wordWrap/>
        <w:overflowPunct/>
        <w:topLinePunct w:val="0"/>
        <w:bidi w:val="0"/>
        <w:spacing w:line="600" w:lineRule="exact"/>
        <w:ind w:firstLine="624"/>
        <w:textAlignment w:val="auto"/>
        <w:rPr>
          <w:rFonts w:ascii="Times New Roman" w:eastAsia="楷体_GB2312"/>
          <w:b/>
          <w:color w:val="000000" w:themeColor="text1"/>
          <w:sz w:val="32"/>
          <w:szCs w:val="32"/>
          <w14:textFill>
            <w14:solidFill>
              <w14:schemeClr w14:val="tx1"/>
            </w14:solidFill>
          </w14:textFill>
        </w:rPr>
      </w:pPr>
      <w:r>
        <w:rPr>
          <w:rFonts w:ascii="Times New Roman" w:eastAsia="楷体_GB2312"/>
          <w:b/>
          <w:color w:val="000000" w:themeColor="text1"/>
          <w:sz w:val="32"/>
          <w:szCs w:val="32"/>
          <w14:textFill>
            <w14:solidFill>
              <w14:schemeClr w14:val="tx1"/>
            </w14:solidFill>
          </w14:textFill>
        </w:rPr>
        <w:t>1</w:t>
      </w:r>
      <w:r>
        <w:rPr>
          <w:rFonts w:hint="eastAsia" w:ascii="Times New Roman" w:eastAsia="楷体_GB2312"/>
          <w:b/>
          <w:color w:val="000000" w:themeColor="text1"/>
          <w:sz w:val="32"/>
          <w:szCs w:val="32"/>
          <w:lang w:val="en-US" w:eastAsia="zh-CN"/>
          <w14:textFill>
            <w14:solidFill>
              <w14:schemeClr w14:val="tx1"/>
            </w14:solidFill>
          </w14:textFill>
        </w:rPr>
        <w:t>1</w:t>
      </w:r>
      <w:r>
        <w:rPr>
          <w:rFonts w:ascii="Times New Roman" w:eastAsia="楷体_GB2312"/>
          <w:b/>
          <w:color w:val="000000" w:themeColor="text1"/>
          <w:sz w:val="32"/>
          <w:szCs w:val="32"/>
          <w14:textFill>
            <w14:solidFill>
              <w14:schemeClr w14:val="tx1"/>
            </w14:solidFill>
          </w14:textFill>
        </w:rPr>
        <w:t>、进入面试范围的应聘人员需向招聘单位提交哪些证明材料？</w:t>
      </w:r>
    </w:p>
    <w:p>
      <w:pPr>
        <w:keepNext w:val="0"/>
        <w:keepLines w:val="0"/>
        <w:pageBreakBefore w:val="0"/>
        <w:widowControl w:val="0"/>
        <w:kinsoku/>
        <w:wordWrap/>
        <w:overflowPunct/>
        <w:topLinePunct w:val="0"/>
        <w:bidi w:val="0"/>
        <w:spacing w:line="600" w:lineRule="exact"/>
        <w:ind w:firstLine="665"/>
        <w:textAlignment w:val="auto"/>
        <w:rPr>
          <w:rFonts w:hint="eastAsia"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进入面试范围的应聘人员，需在规定的时间，按招聘岗位要求，向招聘单位提交近期1寸同底版正面免冠证件照片3张（须与网上报名的照片同一底版）和相关材料（原件及复印件，复印件由审核单位留存）。相关材料主要有：</w:t>
      </w:r>
    </w:p>
    <w:p>
      <w:pPr>
        <w:keepNext w:val="0"/>
        <w:keepLines w:val="0"/>
        <w:pageBreakBefore w:val="0"/>
        <w:widowControl w:val="0"/>
        <w:kinsoku/>
        <w:wordWrap/>
        <w:overflowPunct/>
        <w:topLinePunct w:val="0"/>
        <w:bidi w:val="0"/>
        <w:spacing w:line="600" w:lineRule="exact"/>
        <w:ind w:firstLine="665"/>
        <w:textAlignment w:val="auto"/>
        <w:rPr>
          <w:rFonts w:hint="eastAsia"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（1）《聊城市疾病预防控制中心202</w:t>
      </w:r>
      <w:r>
        <w:rPr>
          <w:rFonts w:hint="eastAsia" w:ascii="仿宋_GB2312" w:hAnsi="仿宋_GB2312" w:cs="仿宋_GB2312"/>
          <w:color w:val="000000" w:themeColor="text1"/>
          <w:szCs w:val="32"/>
          <w:lang w:val="en-US" w:eastAsia="zh-CN"/>
          <w14:textFill>
            <w14:solidFill>
              <w14:schemeClr w14:val="tx1"/>
            </w14:solidFill>
          </w14:textFill>
        </w:rPr>
        <w:t>6</w:t>
      </w:r>
      <w:r>
        <w:rPr>
          <w:rFonts w:hint="eastAsia" w:ascii="仿宋_GB2312" w:hAnsi="仿宋_GB2312" w:cs="仿宋_GB2312"/>
          <w:color w:val="000000" w:themeColor="text1"/>
          <w:szCs w:val="32"/>
          <w14:textFill>
            <w14:solidFill>
              <w14:schemeClr w14:val="tx1"/>
            </w14:solidFill>
          </w14:textFill>
        </w:rPr>
        <w:t>年公开招聘工作人员报名登记表》；</w:t>
      </w:r>
    </w:p>
    <w:p>
      <w:pPr>
        <w:keepNext w:val="0"/>
        <w:keepLines w:val="0"/>
        <w:pageBreakBefore w:val="0"/>
        <w:widowControl w:val="0"/>
        <w:kinsoku/>
        <w:wordWrap/>
        <w:overflowPunct/>
        <w:topLinePunct w:val="0"/>
        <w:bidi w:val="0"/>
        <w:spacing w:line="600" w:lineRule="exact"/>
        <w:ind w:firstLine="665"/>
        <w:textAlignment w:val="auto"/>
        <w:rPr>
          <w:rFonts w:hint="eastAsia"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（2）《应聘人员诚信承诺书》；</w:t>
      </w:r>
    </w:p>
    <w:p>
      <w:pPr>
        <w:keepNext w:val="0"/>
        <w:keepLines w:val="0"/>
        <w:pageBreakBefore w:val="0"/>
        <w:widowControl w:val="0"/>
        <w:kinsoku/>
        <w:wordWrap/>
        <w:overflowPunct/>
        <w:topLinePunct w:val="0"/>
        <w:bidi w:val="0"/>
        <w:spacing w:line="600" w:lineRule="exact"/>
        <w:ind w:firstLine="665"/>
        <w:textAlignment w:val="auto"/>
        <w:rPr>
          <w:rFonts w:hint="eastAsia"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（3）笔试准考证；</w:t>
      </w:r>
    </w:p>
    <w:p>
      <w:pPr>
        <w:keepNext w:val="0"/>
        <w:keepLines w:val="0"/>
        <w:pageBreakBefore w:val="0"/>
        <w:widowControl w:val="0"/>
        <w:kinsoku/>
        <w:wordWrap/>
        <w:overflowPunct/>
        <w:topLinePunct w:val="0"/>
        <w:bidi w:val="0"/>
        <w:spacing w:line="600" w:lineRule="exact"/>
        <w:ind w:firstLine="665"/>
        <w:textAlignment w:val="auto"/>
        <w:rPr>
          <w:rFonts w:hint="eastAsia"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（4）应届毕业生应聘的，提交身份证、学校核发的就业推荐表。</w:t>
      </w:r>
    </w:p>
    <w:p>
      <w:pPr>
        <w:keepNext w:val="0"/>
        <w:keepLines w:val="0"/>
        <w:pageBreakBefore w:val="0"/>
        <w:widowControl w:val="0"/>
        <w:kinsoku/>
        <w:wordWrap/>
        <w:overflowPunct/>
        <w:topLinePunct w:val="0"/>
        <w:bidi w:val="0"/>
        <w:spacing w:line="600" w:lineRule="exact"/>
        <w:ind w:firstLine="665"/>
        <w:textAlignment w:val="auto"/>
        <w:rPr>
          <w:rFonts w:hint="eastAsia"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（5）其他应聘人员，提交国家承认的学历学位及相关证书（须在202</w:t>
      </w:r>
      <w:r>
        <w:rPr>
          <w:rFonts w:hint="eastAsia" w:ascii="仿宋_GB2312" w:hAnsi="仿宋_GB2312" w:cs="仿宋_GB2312"/>
          <w:color w:val="000000" w:themeColor="text1"/>
          <w:szCs w:val="32"/>
          <w:lang w:val="en-US" w:eastAsia="zh-CN"/>
          <w14:textFill>
            <w14:solidFill>
              <w14:schemeClr w14:val="tx1"/>
            </w14:solidFill>
          </w14:textFill>
        </w:rPr>
        <w:t>6</w:t>
      </w:r>
      <w:r>
        <w:rPr>
          <w:rFonts w:hint="eastAsia" w:ascii="仿宋_GB2312" w:hAnsi="仿宋_GB2312" w:cs="仿宋_GB2312"/>
          <w:color w:val="000000" w:themeColor="text1"/>
          <w:szCs w:val="32"/>
          <w14:textFill>
            <w14:solidFill>
              <w14:schemeClr w14:val="tx1"/>
            </w14:solidFill>
          </w14:textFill>
        </w:rPr>
        <w:t>年</w:t>
      </w:r>
      <w:r>
        <w:rPr>
          <w:rFonts w:hint="eastAsia" w:ascii="仿宋_GB2312" w:hAnsi="仿宋_GB2312" w:cs="仿宋_GB2312"/>
          <w:color w:val="000000" w:themeColor="text1"/>
          <w:szCs w:val="32"/>
          <w:lang w:val="en-US" w:eastAsia="zh-CN"/>
          <w14:textFill>
            <w14:solidFill>
              <w14:schemeClr w14:val="tx1"/>
            </w14:solidFill>
          </w14:textFill>
        </w:rPr>
        <w:t>7</w:t>
      </w:r>
      <w:r>
        <w:rPr>
          <w:rFonts w:hint="eastAsia" w:ascii="仿宋_GB2312" w:hAnsi="仿宋_GB2312" w:cs="仿宋_GB2312"/>
          <w:color w:val="000000" w:themeColor="text1"/>
          <w:szCs w:val="32"/>
          <w14:textFill>
            <w14:solidFill>
              <w14:schemeClr w14:val="tx1"/>
            </w14:solidFill>
          </w14:textFill>
        </w:rPr>
        <w:t>月</w:t>
      </w:r>
      <w:r>
        <w:rPr>
          <w:rFonts w:hint="eastAsia" w:ascii="仿宋_GB2312" w:hAnsi="仿宋_GB2312" w:cs="仿宋_GB2312"/>
          <w:color w:val="000000" w:themeColor="text1"/>
          <w:szCs w:val="32"/>
          <w:lang w:val="en-US" w:eastAsia="zh-CN"/>
          <w14:textFill>
            <w14:solidFill>
              <w14:schemeClr w14:val="tx1"/>
            </w14:solidFill>
          </w14:textFill>
        </w:rPr>
        <w:t>8</w:t>
      </w:r>
      <w:r>
        <w:rPr>
          <w:rFonts w:hint="eastAsia" w:ascii="仿宋_GB2312" w:hAnsi="仿宋_GB2312" w:cs="仿宋_GB2312"/>
          <w:color w:val="000000" w:themeColor="text1"/>
          <w:szCs w:val="32"/>
          <w14:textFill>
            <w14:solidFill>
              <w14:schemeClr w14:val="tx1"/>
            </w14:solidFill>
          </w14:textFill>
        </w:rPr>
        <w:t>日前取得）、身份证等；</w:t>
      </w:r>
    </w:p>
    <w:p>
      <w:pPr>
        <w:keepNext w:val="0"/>
        <w:keepLines w:val="0"/>
        <w:pageBreakBefore w:val="0"/>
        <w:widowControl w:val="0"/>
        <w:kinsoku/>
        <w:wordWrap/>
        <w:overflowPunct/>
        <w:topLinePunct w:val="0"/>
        <w:bidi w:val="0"/>
        <w:spacing w:line="600" w:lineRule="exact"/>
        <w:ind w:firstLine="665"/>
        <w:textAlignment w:val="auto"/>
        <w:rPr>
          <w:rFonts w:hint="eastAsia"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（6）在职人员应聘的，提交有用人管理权限部门或单位出具的同意应聘</w:t>
      </w:r>
      <w:r>
        <w:rPr>
          <w:rFonts w:hint="eastAsia" w:ascii="仿宋_GB2312" w:hAnsi="仿宋_GB2312" w:cs="仿宋_GB2312"/>
          <w:color w:val="000000" w:themeColor="text1"/>
          <w:szCs w:val="32"/>
          <w:lang w:val="en-US" w:eastAsia="zh-CN"/>
          <w14:textFill>
            <w14:solidFill>
              <w14:schemeClr w14:val="tx1"/>
            </w14:solidFill>
          </w14:textFill>
        </w:rPr>
        <w:t>证明，已与用人单位签订就业协议的2026年应届毕业生，应聘前须与签约单位解除协议或经签约单位同意，并出具同意应聘的证明（见附件）</w:t>
      </w:r>
      <w:r>
        <w:rPr>
          <w:rFonts w:hint="eastAsia" w:ascii="仿宋_GB2312" w:hAnsi="仿宋_GB2312" w:cs="仿宋_GB2312"/>
          <w:color w:val="000000" w:themeColor="text1"/>
          <w:szCs w:val="32"/>
          <w14:textFill>
            <w14:solidFill>
              <w14:schemeClr w14:val="tx1"/>
            </w14:solidFill>
          </w14:textFill>
        </w:rPr>
        <w:t xml:space="preserve">； </w:t>
      </w:r>
    </w:p>
    <w:p>
      <w:pPr>
        <w:keepNext w:val="0"/>
        <w:keepLines w:val="0"/>
        <w:pageBreakBefore w:val="0"/>
        <w:widowControl w:val="0"/>
        <w:kinsoku/>
        <w:wordWrap/>
        <w:overflowPunct/>
        <w:topLinePunct w:val="0"/>
        <w:bidi w:val="0"/>
        <w:spacing w:line="600" w:lineRule="exact"/>
        <w:ind w:firstLine="665"/>
        <w:textAlignment w:val="auto"/>
        <w:rPr>
          <w:rFonts w:hint="eastAsia" w:ascii="仿宋_GB2312" w:hAnsi="仿宋_GB2312" w:eastAsia="仿宋_GB2312" w:cs="仿宋_GB2312"/>
          <w:color w:val="000000" w:themeColor="text1"/>
          <w:szCs w:val="32"/>
          <w:lang w:eastAsia="zh-CN"/>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7）留学回国人员应聘的，除需提供《简章》中规定的相关材料外，还要出具国家教育部门的学历学位认证。应聘人员可登录教育部留学服务中心网站（http://www.cscse.edu.cn）查询认证的有关要求和程序。学历学位认证材料，在面试前与其他材料一并交招聘单位审核</w:t>
      </w:r>
      <w:r>
        <w:rPr>
          <w:rFonts w:hint="eastAsia" w:ascii="仿宋_GB2312" w:hAnsi="仿宋_GB2312" w:cs="仿宋_GB2312"/>
          <w:color w:val="000000" w:themeColor="text1"/>
          <w:szCs w:val="32"/>
          <w:lang w:eastAsia="zh-CN"/>
          <w14:textFill>
            <w14:solidFill>
              <w14:schemeClr w14:val="tx1"/>
            </w14:solidFill>
          </w14:textFill>
        </w:rPr>
        <w:t>；</w:t>
      </w:r>
    </w:p>
    <w:p>
      <w:pPr>
        <w:keepNext w:val="0"/>
        <w:keepLines w:val="0"/>
        <w:pageBreakBefore w:val="0"/>
        <w:widowControl w:val="0"/>
        <w:kinsoku/>
        <w:wordWrap/>
        <w:overflowPunct/>
        <w:topLinePunct w:val="0"/>
        <w:bidi w:val="0"/>
        <w:spacing w:line="600" w:lineRule="exact"/>
        <w:ind w:firstLine="665"/>
        <w:textAlignment w:val="auto"/>
        <w:rPr>
          <w:rFonts w:hint="eastAsia" w:ascii="仿宋_GB2312" w:hAnsi="仿宋_GB2312" w:eastAsia="仿宋_GB2312" w:cs="仿宋_GB2312"/>
          <w:color w:val="000000" w:themeColor="text1"/>
          <w:szCs w:val="32"/>
          <w:lang w:eastAsia="zh-CN"/>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w:t>
      </w:r>
      <w:r>
        <w:rPr>
          <w:rFonts w:hint="eastAsia" w:ascii="仿宋_GB2312" w:hAnsi="仿宋_GB2312" w:cs="仿宋_GB2312"/>
          <w:color w:val="000000" w:themeColor="text1"/>
          <w:szCs w:val="32"/>
          <w:lang w:val="en-US" w:eastAsia="zh-CN"/>
          <w14:textFill>
            <w14:solidFill>
              <w14:schemeClr w14:val="tx1"/>
            </w14:solidFill>
          </w14:textFill>
        </w:rPr>
        <w:t>8</w:t>
      </w:r>
      <w:r>
        <w:rPr>
          <w:rFonts w:hint="eastAsia" w:ascii="仿宋_GB2312" w:hAnsi="仿宋_GB2312" w:cs="仿宋_GB2312"/>
          <w:color w:val="000000" w:themeColor="text1"/>
          <w:szCs w:val="32"/>
          <w14:textFill>
            <w14:solidFill>
              <w14:schemeClr w14:val="tx1"/>
            </w14:solidFill>
          </w14:textFill>
        </w:rPr>
        <w:t>）香港和澳门居民中的中国公民应聘的，还需提供《港澳居民来往内地通行证》</w:t>
      </w:r>
      <w:r>
        <w:rPr>
          <w:rFonts w:hint="eastAsia" w:ascii="仿宋_GB2312" w:hAnsi="仿宋_GB2312" w:cs="仿宋_GB2312"/>
          <w:color w:val="000000" w:themeColor="text1"/>
          <w:szCs w:val="32"/>
          <w:lang w:eastAsia="zh-CN"/>
          <w14:textFill>
            <w14:solidFill>
              <w14:schemeClr w14:val="tx1"/>
            </w14:solidFill>
          </w14:textFill>
        </w:rPr>
        <w:t>；</w:t>
      </w:r>
    </w:p>
    <w:p>
      <w:pPr>
        <w:keepNext w:val="0"/>
        <w:keepLines w:val="0"/>
        <w:pageBreakBefore w:val="0"/>
        <w:widowControl w:val="0"/>
        <w:kinsoku/>
        <w:wordWrap/>
        <w:overflowPunct/>
        <w:topLinePunct w:val="0"/>
        <w:bidi w:val="0"/>
        <w:spacing w:line="600" w:lineRule="exact"/>
        <w:ind w:firstLine="665"/>
        <w:textAlignment w:val="auto"/>
        <w:rPr>
          <w:rFonts w:hint="eastAsia"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w:t>
      </w:r>
      <w:r>
        <w:rPr>
          <w:rFonts w:hint="eastAsia" w:ascii="仿宋_GB2312" w:hAnsi="仿宋_GB2312" w:cs="仿宋_GB2312"/>
          <w:color w:val="000000" w:themeColor="text1"/>
          <w:szCs w:val="32"/>
          <w:lang w:val="en-US" w:eastAsia="zh-CN"/>
          <w14:textFill>
            <w14:solidFill>
              <w14:schemeClr w14:val="tx1"/>
            </w14:solidFill>
          </w14:textFill>
        </w:rPr>
        <w:t>9</w:t>
      </w:r>
      <w:r>
        <w:rPr>
          <w:rFonts w:hint="eastAsia" w:ascii="仿宋_GB2312" w:hAnsi="仿宋_GB2312" w:cs="仿宋_GB2312"/>
          <w:color w:val="000000" w:themeColor="text1"/>
          <w:szCs w:val="32"/>
          <w14:textFill>
            <w14:solidFill>
              <w14:schemeClr w14:val="tx1"/>
            </w14:solidFill>
          </w14:textFill>
        </w:rPr>
        <w:t>）招聘岗位条件要求的其他证明材料。</w:t>
      </w:r>
    </w:p>
    <w:p>
      <w:pPr>
        <w:pStyle w:val="76"/>
        <w:keepNext w:val="0"/>
        <w:keepLines w:val="0"/>
        <w:pageBreakBefore w:val="0"/>
        <w:widowControl w:val="0"/>
        <w:kinsoku/>
        <w:wordWrap/>
        <w:overflowPunct/>
        <w:topLinePunct w:val="0"/>
        <w:bidi w:val="0"/>
        <w:spacing w:line="600" w:lineRule="exact"/>
        <w:ind w:firstLine="624"/>
        <w:textAlignment w:val="auto"/>
        <w:rPr>
          <w:rFonts w:ascii="Times New Roman" w:eastAsia="楷体_GB2312"/>
          <w:b/>
          <w:color w:val="000000" w:themeColor="text1"/>
          <w:sz w:val="32"/>
          <w:szCs w:val="32"/>
          <w14:textFill>
            <w14:solidFill>
              <w14:schemeClr w14:val="tx1"/>
            </w14:solidFill>
          </w14:textFill>
        </w:rPr>
      </w:pPr>
      <w:r>
        <w:rPr>
          <w:rFonts w:hint="eastAsia" w:ascii="Times New Roman" w:eastAsia="楷体_GB2312"/>
          <w:b/>
          <w:color w:val="000000" w:themeColor="text1"/>
          <w:sz w:val="32"/>
          <w:szCs w:val="32"/>
          <w14:textFill>
            <w14:solidFill>
              <w14:schemeClr w14:val="tx1"/>
            </w14:solidFill>
          </w14:textFill>
        </w:rPr>
        <w:t>1</w:t>
      </w:r>
      <w:r>
        <w:rPr>
          <w:rFonts w:hint="eastAsia" w:ascii="Times New Roman" w:eastAsia="楷体_GB2312"/>
          <w:b/>
          <w:color w:val="000000" w:themeColor="text1"/>
          <w:sz w:val="32"/>
          <w:szCs w:val="32"/>
          <w:lang w:val="en-US" w:eastAsia="zh-CN"/>
          <w14:textFill>
            <w14:solidFill>
              <w14:schemeClr w14:val="tx1"/>
            </w14:solidFill>
          </w14:textFill>
        </w:rPr>
        <w:t>2</w:t>
      </w:r>
      <w:r>
        <w:rPr>
          <w:rFonts w:hint="eastAsia" w:ascii="Times New Roman" w:eastAsia="楷体_GB2312"/>
          <w:b/>
          <w:color w:val="000000" w:themeColor="text1"/>
          <w:sz w:val="32"/>
          <w:szCs w:val="32"/>
          <w14:textFill>
            <w14:solidFill>
              <w14:schemeClr w14:val="tx1"/>
            </w14:solidFill>
          </w14:textFill>
        </w:rPr>
        <w:t>、享受减免有关考务费用的考生、残疾人需提供哪些证明材料？</w:t>
      </w:r>
    </w:p>
    <w:p>
      <w:pPr>
        <w:keepNext w:val="0"/>
        <w:keepLines w:val="0"/>
        <w:pageBreakBefore w:val="0"/>
        <w:widowControl w:val="0"/>
        <w:kinsoku/>
        <w:wordWrap/>
        <w:overflowPunct/>
        <w:topLinePunct w:val="0"/>
        <w:bidi w:val="0"/>
        <w:adjustRightInd w:val="0"/>
        <w:snapToGrid w:val="0"/>
        <w:spacing w:line="600" w:lineRule="exact"/>
        <w:ind w:firstLine="624" w:firstLineChars="200"/>
        <w:textAlignment w:val="auto"/>
        <w:rPr>
          <w:rFonts w:ascii="仿宋_GB2312" w:hAnsi="仿宋_GB2312" w:cs="仿宋_GB2312"/>
          <w:color w:val="000000" w:themeColor="text1"/>
          <w:szCs w:val="32"/>
          <w14:textFill>
            <w14:solidFill>
              <w14:schemeClr w14:val="tx1"/>
            </w14:solidFill>
          </w14:textFill>
        </w:rPr>
      </w:pPr>
      <w:r>
        <w:rPr>
          <w:rFonts w:ascii="Times New Roman" w:hAnsi="Times New Roman" w:cs="Times New Roman"/>
          <w:color w:val="000000" w:themeColor="text1"/>
          <w:szCs w:val="32"/>
          <w14:textFill>
            <w14:solidFill>
              <w14:schemeClr w14:val="tx1"/>
            </w14:solidFill>
          </w14:textFill>
        </w:rPr>
        <w:t>最低生活保障家庭人员凭其家庭所在地的县（市、区）民政部门出具的享受最低生活保障的证明或低保证；脱贫享受政策人口和防返贫监测帮扶对象凭其家庭所在地的县（市、区）乡村振兴部门出具的有关证明</w:t>
      </w:r>
      <w:r>
        <w:rPr>
          <w:rFonts w:hint="eastAsia" w:ascii="Times New Roman" w:hAnsi="Times New Roman" w:cs="Times New Roman"/>
          <w:color w:val="000000" w:themeColor="text1"/>
          <w:szCs w:val="32"/>
          <w14:textFill>
            <w14:solidFill>
              <w14:schemeClr w14:val="tx1"/>
            </w14:solidFill>
          </w14:textFill>
        </w:rPr>
        <w:t>；</w:t>
      </w:r>
      <w:r>
        <w:rPr>
          <w:rFonts w:hint="eastAsia" w:ascii="仿宋_GB2312" w:hAnsi="仿宋_GB2312" w:cs="仿宋_GB2312"/>
          <w:color w:val="000000" w:themeColor="text1"/>
          <w:szCs w:val="32"/>
          <w14:textFill>
            <w14:solidFill>
              <w14:schemeClr w14:val="tx1"/>
            </w14:solidFill>
          </w14:textFill>
        </w:rPr>
        <w:t>残疾人应提交残疾人证。</w:t>
      </w:r>
    </w:p>
    <w:p>
      <w:pPr>
        <w:pStyle w:val="76"/>
        <w:keepNext w:val="0"/>
        <w:keepLines w:val="0"/>
        <w:pageBreakBefore w:val="0"/>
        <w:widowControl w:val="0"/>
        <w:kinsoku/>
        <w:wordWrap/>
        <w:overflowPunct/>
        <w:topLinePunct w:val="0"/>
        <w:bidi w:val="0"/>
        <w:spacing w:line="600" w:lineRule="exact"/>
        <w:ind w:firstLine="624"/>
        <w:textAlignment w:val="auto"/>
        <w:rPr>
          <w:rFonts w:ascii="Times New Roman" w:eastAsia="楷体_GB2312"/>
          <w:b/>
          <w:color w:val="000000" w:themeColor="text1"/>
          <w:sz w:val="32"/>
          <w:szCs w:val="32"/>
          <w14:textFill>
            <w14:solidFill>
              <w14:schemeClr w14:val="tx1"/>
            </w14:solidFill>
          </w14:textFill>
        </w:rPr>
      </w:pPr>
      <w:r>
        <w:rPr>
          <w:rFonts w:hint="eastAsia" w:ascii="Times New Roman" w:eastAsia="楷体_GB2312"/>
          <w:b/>
          <w:color w:val="000000" w:themeColor="text1"/>
          <w:sz w:val="32"/>
          <w:szCs w:val="32"/>
          <w14:textFill>
            <w14:solidFill>
              <w14:schemeClr w14:val="tx1"/>
            </w14:solidFill>
          </w14:textFill>
        </w:rPr>
        <w:t>1</w:t>
      </w:r>
      <w:r>
        <w:rPr>
          <w:rFonts w:hint="eastAsia" w:ascii="Times New Roman" w:eastAsia="楷体_GB2312"/>
          <w:b/>
          <w:color w:val="000000" w:themeColor="text1"/>
          <w:sz w:val="32"/>
          <w:szCs w:val="32"/>
          <w:lang w:val="en-US" w:eastAsia="zh-CN"/>
          <w14:textFill>
            <w14:solidFill>
              <w14:schemeClr w14:val="tx1"/>
            </w14:solidFill>
          </w14:textFill>
        </w:rPr>
        <w:t>3</w:t>
      </w:r>
      <w:r>
        <w:rPr>
          <w:rFonts w:hint="eastAsia" w:ascii="Times New Roman" w:eastAsia="楷体_GB2312"/>
          <w:b/>
          <w:color w:val="000000" w:themeColor="text1"/>
          <w:sz w:val="32"/>
          <w:szCs w:val="32"/>
          <w14:textFill>
            <w14:solidFill>
              <w14:schemeClr w14:val="tx1"/>
            </w14:solidFill>
          </w14:textFill>
        </w:rPr>
        <w:t>、报考人员提交报名信息2小时后，登录网站发现报名信息仍为“未审核”状态是什么原因？</w:t>
      </w:r>
    </w:p>
    <w:p>
      <w:pPr>
        <w:keepNext w:val="0"/>
        <w:keepLines w:val="0"/>
        <w:pageBreakBefore w:val="0"/>
        <w:widowControl w:val="0"/>
        <w:kinsoku/>
        <w:wordWrap/>
        <w:overflowPunct/>
        <w:topLinePunct w:val="0"/>
        <w:bidi w:val="0"/>
        <w:snapToGrid w:val="0"/>
        <w:spacing w:line="600" w:lineRule="exact"/>
        <w:ind w:firstLine="624" w:firstLineChars="200"/>
        <w:textAlignment w:val="auto"/>
        <w:rPr>
          <w:rFonts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一个原因是：为方便考生对报名信息进行修改、补充或改报应聘岗位，报名系统设置为考生提交报名信息2小时后才能进行初审，若考生在报名的2小时内上网修改、补充报名信息，或仅是登录系统未改信息但点击了“保存”，系统将自动从考生登录报名系统、点击“保存”的时间起推迟2小时进入审核状态。因此考生如果只是上网查看审核状态而不修改报名信息，退出系统时一定不要点击“保存”键，否则系统自动认定考生修改了报名信息。</w:t>
      </w:r>
    </w:p>
    <w:p>
      <w:pPr>
        <w:keepNext w:val="0"/>
        <w:keepLines w:val="0"/>
        <w:pageBreakBefore w:val="0"/>
        <w:widowControl w:val="0"/>
        <w:kinsoku/>
        <w:wordWrap/>
        <w:overflowPunct/>
        <w:topLinePunct w:val="0"/>
        <w:bidi w:val="0"/>
        <w:snapToGrid w:val="0"/>
        <w:spacing w:line="600" w:lineRule="exact"/>
        <w:ind w:firstLine="624" w:firstLineChars="200"/>
        <w:textAlignment w:val="auto"/>
        <w:rPr>
          <w:rFonts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另一个原因是：报考人员较多，审核人员不能在短时间内审查完进入“审核”状态的全部报名信息，这种情况请考生耐心等待。</w:t>
      </w:r>
    </w:p>
    <w:p>
      <w:pPr>
        <w:pStyle w:val="76"/>
        <w:keepNext w:val="0"/>
        <w:keepLines w:val="0"/>
        <w:pageBreakBefore w:val="0"/>
        <w:widowControl w:val="0"/>
        <w:kinsoku/>
        <w:wordWrap/>
        <w:overflowPunct/>
        <w:topLinePunct w:val="0"/>
        <w:bidi w:val="0"/>
        <w:spacing w:line="600" w:lineRule="exact"/>
        <w:ind w:firstLine="624"/>
        <w:textAlignment w:val="auto"/>
        <w:rPr>
          <w:rFonts w:ascii="Times New Roman" w:eastAsia="楷体_GB2312"/>
          <w:b/>
          <w:color w:val="000000" w:themeColor="text1"/>
          <w:sz w:val="32"/>
          <w:szCs w:val="32"/>
          <w14:textFill>
            <w14:solidFill>
              <w14:schemeClr w14:val="tx1"/>
            </w14:solidFill>
          </w14:textFill>
        </w:rPr>
      </w:pPr>
      <w:r>
        <w:rPr>
          <w:rFonts w:hint="eastAsia" w:ascii="Times New Roman" w:eastAsia="楷体_GB2312"/>
          <w:b/>
          <w:color w:val="000000" w:themeColor="text1"/>
          <w:sz w:val="32"/>
          <w:szCs w:val="32"/>
          <w14:textFill>
            <w14:solidFill>
              <w14:schemeClr w14:val="tx1"/>
            </w14:solidFill>
          </w14:textFill>
        </w:rPr>
        <w:t>1</w:t>
      </w:r>
      <w:r>
        <w:rPr>
          <w:rFonts w:hint="eastAsia" w:ascii="Times New Roman" w:eastAsia="楷体_GB2312"/>
          <w:b/>
          <w:color w:val="000000" w:themeColor="text1"/>
          <w:sz w:val="32"/>
          <w:szCs w:val="32"/>
          <w:lang w:val="en-US" w:eastAsia="zh-CN"/>
          <w14:textFill>
            <w14:solidFill>
              <w14:schemeClr w14:val="tx1"/>
            </w14:solidFill>
          </w14:textFill>
        </w:rPr>
        <w:t>4</w:t>
      </w:r>
      <w:r>
        <w:rPr>
          <w:rFonts w:hint="eastAsia" w:ascii="Times New Roman" w:eastAsia="楷体_GB2312"/>
          <w:b/>
          <w:color w:val="000000" w:themeColor="text1"/>
          <w:sz w:val="32"/>
          <w:szCs w:val="32"/>
          <w14:textFill>
            <w14:solidFill>
              <w14:schemeClr w14:val="tx1"/>
            </w14:solidFill>
          </w14:textFill>
        </w:rPr>
        <w:t>、如果银行端支付成功，查询报名网址缴费状态仍然是“未缴费”怎么办？</w:t>
      </w:r>
    </w:p>
    <w:p>
      <w:pPr>
        <w:keepNext w:val="0"/>
        <w:keepLines w:val="0"/>
        <w:pageBreakBefore w:val="0"/>
        <w:widowControl w:val="0"/>
        <w:kinsoku/>
        <w:wordWrap/>
        <w:overflowPunct/>
        <w:topLinePunct w:val="0"/>
        <w:bidi w:val="0"/>
        <w:snapToGrid w:val="0"/>
        <w:spacing w:line="600" w:lineRule="exact"/>
        <w:ind w:firstLine="624" w:firstLineChars="200"/>
        <w:textAlignment w:val="auto"/>
        <w:rPr>
          <w:rFonts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考生网上缴费时，可能会出现银行扣费成功、但报名系统缴费状态仍显示“未缴费”的极个别情况。这是网络通讯迟滞原因造成的，一般在第二天缴费状态都会显示“已缴费”。如果第二日缴费状态仍为“未缴费”，考生可立即联系聊城市疾病预防控制中心（电话0635-8535869）。</w:t>
      </w:r>
    </w:p>
    <w:p>
      <w:pPr>
        <w:pStyle w:val="76"/>
        <w:keepNext w:val="0"/>
        <w:keepLines w:val="0"/>
        <w:pageBreakBefore w:val="0"/>
        <w:widowControl w:val="0"/>
        <w:kinsoku/>
        <w:wordWrap/>
        <w:overflowPunct/>
        <w:topLinePunct w:val="0"/>
        <w:bidi w:val="0"/>
        <w:spacing w:line="600" w:lineRule="exact"/>
        <w:ind w:firstLine="624"/>
        <w:textAlignment w:val="auto"/>
        <w:rPr>
          <w:rFonts w:ascii="Times New Roman" w:eastAsia="楷体_GB2312"/>
          <w:b/>
          <w:color w:val="000000" w:themeColor="text1"/>
          <w:sz w:val="32"/>
          <w:szCs w:val="32"/>
          <w14:textFill>
            <w14:solidFill>
              <w14:schemeClr w14:val="tx1"/>
            </w14:solidFill>
          </w14:textFill>
        </w:rPr>
      </w:pPr>
      <w:r>
        <w:rPr>
          <w:rFonts w:hint="eastAsia" w:ascii="Times New Roman" w:eastAsia="楷体_GB2312"/>
          <w:b/>
          <w:color w:val="000000" w:themeColor="text1"/>
          <w:sz w:val="32"/>
          <w:szCs w:val="32"/>
          <w14:textFill>
            <w14:solidFill>
              <w14:schemeClr w14:val="tx1"/>
            </w14:solidFill>
          </w14:textFill>
        </w:rPr>
        <w:t>1</w:t>
      </w:r>
      <w:r>
        <w:rPr>
          <w:rFonts w:hint="eastAsia" w:ascii="Times New Roman" w:eastAsia="楷体_GB2312"/>
          <w:b/>
          <w:color w:val="000000" w:themeColor="text1"/>
          <w:sz w:val="32"/>
          <w:szCs w:val="32"/>
          <w:lang w:val="en-US" w:eastAsia="zh-CN"/>
          <w14:textFill>
            <w14:solidFill>
              <w14:schemeClr w14:val="tx1"/>
            </w14:solidFill>
          </w14:textFill>
        </w:rPr>
        <w:t>5</w:t>
      </w:r>
      <w:r>
        <w:rPr>
          <w:rFonts w:hint="eastAsia" w:ascii="Times New Roman" w:eastAsia="楷体_GB2312"/>
          <w:b/>
          <w:color w:val="000000" w:themeColor="text1"/>
          <w:sz w:val="32"/>
          <w:szCs w:val="32"/>
          <w14:textFill>
            <w14:solidFill>
              <w14:schemeClr w14:val="tx1"/>
            </w14:solidFill>
          </w14:textFill>
        </w:rPr>
        <w:t>、违纪违规及存在不诚信情形的应聘人员如何处理？</w:t>
      </w:r>
    </w:p>
    <w:p>
      <w:pPr>
        <w:keepNext w:val="0"/>
        <w:keepLines w:val="0"/>
        <w:pageBreakBefore w:val="0"/>
        <w:widowControl w:val="0"/>
        <w:kinsoku/>
        <w:wordWrap/>
        <w:overflowPunct/>
        <w:topLinePunct w:val="0"/>
        <w:bidi w:val="0"/>
        <w:snapToGrid w:val="0"/>
        <w:spacing w:line="600" w:lineRule="exact"/>
        <w:ind w:firstLine="624" w:firstLineChars="200"/>
        <w:textAlignment w:val="auto"/>
        <w:rPr>
          <w:rFonts w:ascii="仿宋_GB2312" w:hAnsi="仿宋_GB2312" w:cs="仿宋_GB2312"/>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应聘人员要严格遵守公开招聘的相关政策规定，遵从事业单位公开招聘主管机关、人事考试机构和招聘单位的统一安排，其在应聘期间的表现将作为公开招聘考察的重要内容之一。对违反公开招聘纪律的应聘人员，按照《事业单位公开招聘违纪违规行为处理规定》（中华人民共和国人力资源和社会保障部令第35号）处理。对招聘工作中存在不诚信情形的应聘人员，纳入事业单位公开招聘违纪违规与诚信档案库。</w:t>
      </w:r>
    </w:p>
    <w:p>
      <w:pPr>
        <w:pStyle w:val="76"/>
        <w:keepNext w:val="0"/>
        <w:keepLines w:val="0"/>
        <w:pageBreakBefore w:val="0"/>
        <w:widowControl w:val="0"/>
        <w:kinsoku/>
        <w:wordWrap/>
        <w:overflowPunct/>
        <w:topLinePunct w:val="0"/>
        <w:bidi w:val="0"/>
        <w:spacing w:line="600" w:lineRule="exact"/>
        <w:ind w:firstLine="624"/>
        <w:textAlignment w:val="auto"/>
        <w:rPr>
          <w:rFonts w:ascii="Times New Roman" w:eastAsia="楷体_GB2312"/>
          <w:b/>
          <w:color w:val="000000" w:themeColor="text1"/>
          <w:sz w:val="32"/>
          <w:szCs w:val="32"/>
          <w14:textFill>
            <w14:solidFill>
              <w14:schemeClr w14:val="tx1"/>
            </w14:solidFill>
          </w14:textFill>
        </w:rPr>
      </w:pPr>
      <w:r>
        <w:rPr>
          <w:rFonts w:hint="eastAsia" w:ascii="Times New Roman" w:eastAsia="楷体_GB2312"/>
          <w:b/>
          <w:color w:val="000000" w:themeColor="text1"/>
          <w:sz w:val="32"/>
          <w:szCs w:val="32"/>
          <w14:textFill>
            <w14:solidFill>
              <w14:schemeClr w14:val="tx1"/>
            </w14:solidFill>
          </w14:textFill>
        </w:rPr>
        <w:t>1</w:t>
      </w:r>
      <w:r>
        <w:rPr>
          <w:rFonts w:hint="eastAsia" w:ascii="Times New Roman" w:eastAsia="楷体_GB2312"/>
          <w:b/>
          <w:color w:val="000000" w:themeColor="text1"/>
          <w:sz w:val="32"/>
          <w:szCs w:val="32"/>
          <w:lang w:val="en-US" w:eastAsia="zh-CN"/>
          <w14:textFill>
            <w14:solidFill>
              <w14:schemeClr w14:val="tx1"/>
            </w14:solidFill>
          </w14:textFill>
        </w:rPr>
        <w:t>6</w:t>
      </w:r>
      <w:r>
        <w:rPr>
          <w:rFonts w:hint="eastAsia" w:ascii="Times New Roman" w:eastAsia="楷体_GB2312"/>
          <w:b/>
          <w:color w:val="000000" w:themeColor="text1"/>
          <w:sz w:val="32"/>
          <w:szCs w:val="32"/>
          <w14:textFill>
            <w14:solidFill>
              <w14:schemeClr w14:val="tx1"/>
            </w14:solidFill>
          </w14:textFill>
        </w:rPr>
        <w:t>、应聘人员还需注意哪些问题？</w:t>
      </w:r>
    </w:p>
    <w:p>
      <w:pPr>
        <w:keepNext w:val="0"/>
        <w:keepLines w:val="0"/>
        <w:pageBreakBefore w:val="0"/>
        <w:widowControl w:val="0"/>
        <w:kinsoku/>
        <w:wordWrap/>
        <w:overflowPunct/>
        <w:topLinePunct w:val="0"/>
        <w:bidi w:val="0"/>
        <w:snapToGrid w:val="0"/>
        <w:spacing w:line="600" w:lineRule="exact"/>
        <w:ind w:firstLine="624" w:firstLineChars="200"/>
        <w:textAlignment w:val="auto"/>
        <w:rPr>
          <w:rFonts w:hint="eastAsia"/>
          <w:color w:val="000000" w:themeColor="text1"/>
          <w:szCs w:val="32"/>
          <w14:textFill>
            <w14:solidFill>
              <w14:schemeClr w14:val="tx1"/>
            </w14:solidFill>
          </w14:textFill>
        </w:rPr>
      </w:pPr>
      <w:r>
        <w:rPr>
          <w:rFonts w:hint="eastAsia" w:ascii="仿宋_GB2312" w:hAnsi="仿宋_GB2312" w:cs="仿宋_GB2312"/>
          <w:color w:val="000000" w:themeColor="text1"/>
          <w:szCs w:val="32"/>
          <w14:textFill>
            <w14:solidFill>
              <w14:schemeClr w14:val="tx1"/>
            </w14:solidFill>
          </w14:textFill>
        </w:rPr>
        <w:t>网上报名期间，符合条件的应聘人员应在报名时间内尽早填报、修改个人信息资料；在审核时间内及时查询初审结果；初审通过后，在缴费时间内及时缴费，避免出现因本人未及时报名、未及时补充信息、未及时缴费等问题耽误报考。整个招聘工作期间，应聘人员要及时了解招聘网站发布的最新信息，并保持电话畅通（如有联系方式变动，请及时通知招聘单位），以免错过重要信息而影响资格审查、面试、考察体检及聘用。</w:t>
      </w:r>
    </w:p>
    <w:sectPr>
      <w:footerReference r:id="rId5" w:type="default"/>
      <w:footerReference r:id="rId6" w:type="even"/>
      <w:pgSz w:w="11906" w:h="16838"/>
      <w:pgMar w:top="2098" w:right="1588" w:bottom="1588" w:left="1588" w:header="851" w:footer="992" w:gutter="0"/>
      <w:pgNumType w:fmt="decimal" w:start="2"/>
      <w:cols w:space="425" w:num="1"/>
      <w:docGrid w:type="linesAndChars" w:linePitch="59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NanumBarunGothic"/>
    <w:panose1 w:val="020B0604020202020204"/>
    <w:charset w:val="00"/>
    <w:family w:val="swiss"/>
    <w:pitch w:val="default"/>
    <w:sig w:usb0="00000000" w:usb1="00000000" w:usb2="00000009" w:usb3="00000000" w:csb0="000001FF" w:csb1="00000000"/>
  </w:font>
  <w:font w:name="NanumBarunGothic">
    <w:panose1 w:val="020B0603020101020101"/>
    <w:charset w:val="81"/>
    <w:family w:val="auto"/>
    <w:pitch w:val="default"/>
    <w:sig w:usb0="800002A7" w:usb1="01D77CFB" w:usb2="00000010" w:usb3="00000000" w:csb0="00080001" w:csb1="00000000"/>
  </w:font>
  <w:font w:name="Arial Unicode MS">
    <w:altName w:val="DejaVu Sans"/>
    <w:panose1 w:val="020B0604020202020204"/>
    <w:charset w:val="86"/>
    <w:family w:val="swiss"/>
    <w:pitch w:val="default"/>
    <w:sig w:usb0="00000000" w:usb1="00000000" w:usb2="0000003F" w:usb3="00000000" w:csb0="003F01F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heme="minorEastAsia" w:hAnsi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- 13 -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- 13 -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13</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heme="minorEastAsia" w:hAnsiTheme="minorEastAsia"/>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6wA4ejECAABjBAAADgAAAAAAAAABACAAAAA1&#10;AQAAZHJzL2Uyb0RvYy54bWxQSwUGAAAAAAYABgBZAQAA2A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Theme="minorEastAsia" w:hAnsiTheme="minorEastAsia"/>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s/vGR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&#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bP7xkTECAABjBAAADgAAAAAAAAABACAAAAA1&#10;AQAAZHJzL2Uyb0RvYy54bWxQSwUGAAAAAAYABgBZAQAA2A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6"/>
  <w:drawingGridVerticalSpacing w:val="59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wYjIyYmY0NGU0ZTU4Y2IxMTM1OGQ4NDllYjQ4ZTYifQ=="/>
  </w:docVars>
  <w:rsids>
    <w:rsidRoot w:val="00900F22"/>
    <w:rsid w:val="00017749"/>
    <w:rsid w:val="00024FC1"/>
    <w:rsid w:val="00027B47"/>
    <w:rsid w:val="00035D04"/>
    <w:rsid w:val="00035F2C"/>
    <w:rsid w:val="00050F6C"/>
    <w:rsid w:val="000621B9"/>
    <w:rsid w:val="00074AE9"/>
    <w:rsid w:val="000942FD"/>
    <w:rsid w:val="0009727D"/>
    <w:rsid w:val="000B6F33"/>
    <w:rsid w:val="000C03A5"/>
    <w:rsid w:val="000E564B"/>
    <w:rsid w:val="000E5BAA"/>
    <w:rsid w:val="00103AA8"/>
    <w:rsid w:val="00116A65"/>
    <w:rsid w:val="00152D65"/>
    <w:rsid w:val="0017631D"/>
    <w:rsid w:val="0019353E"/>
    <w:rsid w:val="00195F00"/>
    <w:rsid w:val="001C34CF"/>
    <w:rsid w:val="001E13D8"/>
    <w:rsid w:val="001F09DC"/>
    <w:rsid w:val="001F5792"/>
    <w:rsid w:val="00204877"/>
    <w:rsid w:val="002077A9"/>
    <w:rsid w:val="0023651A"/>
    <w:rsid w:val="00247D08"/>
    <w:rsid w:val="00253394"/>
    <w:rsid w:val="00266E4D"/>
    <w:rsid w:val="0026742B"/>
    <w:rsid w:val="00272EAD"/>
    <w:rsid w:val="0027617A"/>
    <w:rsid w:val="002815D8"/>
    <w:rsid w:val="002A6E38"/>
    <w:rsid w:val="002A7308"/>
    <w:rsid w:val="002B19BC"/>
    <w:rsid w:val="002C08B2"/>
    <w:rsid w:val="002E36D3"/>
    <w:rsid w:val="002E5300"/>
    <w:rsid w:val="002E7C1C"/>
    <w:rsid w:val="00320328"/>
    <w:rsid w:val="00327C4B"/>
    <w:rsid w:val="003304B0"/>
    <w:rsid w:val="00335FA5"/>
    <w:rsid w:val="00372E00"/>
    <w:rsid w:val="003A25EF"/>
    <w:rsid w:val="003D3A8B"/>
    <w:rsid w:val="003F1A87"/>
    <w:rsid w:val="004021A1"/>
    <w:rsid w:val="00444C44"/>
    <w:rsid w:val="00445FD1"/>
    <w:rsid w:val="004B683C"/>
    <w:rsid w:val="004D44CA"/>
    <w:rsid w:val="004F0DB9"/>
    <w:rsid w:val="0052385C"/>
    <w:rsid w:val="005329AC"/>
    <w:rsid w:val="00547E9D"/>
    <w:rsid w:val="00566DD7"/>
    <w:rsid w:val="005776AC"/>
    <w:rsid w:val="0058014F"/>
    <w:rsid w:val="005A608D"/>
    <w:rsid w:val="005B07C8"/>
    <w:rsid w:val="005D5A94"/>
    <w:rsid w:val="005E2403"/>
    <w:rsid w:val="0060657E"/>
    <w:rsid w:val="00611AFA"/>
    <w:rsid w:val="00617A45"/>
    <w:rsid w:val="00624D6F"/>
    <w:rsid w:val="006554EE"/>
    <w:rsid w:val="006825E7"/>
    <w:rsid w:val="00693FA3"/>
    <w:rsid w:val="006A0516"/>
    <w:rsid w:val="006B157E"/>
    <w:rsid w:val="006D4115"/>
    <w:rsid w:val="00700C3A"/>
    <w:rsid w:val="007151EA"/>
    <w:rsid w:val="00716074"/>
    <w:rsid w:val="0073201B"/>
    <w:rsid w:val="00736AC2"/>
    <w:rsid w:val="007477C2"/>
    <w:rsid w:val="00774006"/>
    <w:rsid w:val="007936CE"/>
    <w:rsid w:val="007B4776"/>
    <w:rsid w:val="007C2A86"/>
    <w:rsid w:val="007D3921"/>
    <w:rsid w:val="007D636F"/>
    <w:rsid w:val="007E2106"/>
    <w:rsid w:val="00812DBA"/>
    <w:rsid w:val="008230BA"/>
    <w:rsid w:val="0085406F"/>
    <w:rsid w:val="0086337A"/>
    <w:rsid w:val="008A27FA"/>
    <w:rsid w:val="008C2B8E"/>
    <w:rsid w:val="008D05D1"/>
    <w:rsid w:val="008E7765"/>
    <w:rsid w:val="00900F22"/>
    <w:rsid w:val="00901F5A"/>
    <w:rsid w:val="00907A3A"/>
    <w:rsid w:val="00911C4F"/>
    <w:rsid w:val="00971AAF"/>
    <w:rsid w:val="009A2FCB"/>
    <w:rsid w:val="009C3253"/>
    <w:rsid w:val="009F3ED8"/>
    <w:rsid w:val="00A37A5A"/>
    <w:rsid w:val="00A46B46"/>
    <w:rsid w:val="00A50D50"/>
    <w:rsid w:val="00A52389"/>
    <w:rsid w:val="00A55505"/>
    <w:rsid w:val="00A75409"/>
    <w:rsid w:val="00A873C6"/>
    <w:rsid w:val="00AB1A90"/>
    <w:rsid w:val="00AD4123"/>
    <w:rsid w:val="00AE6CF8"/>
    <w:rsid w:val="00B02D17"/>
    <w:rsid w:val="00B070B5"/>
    <w:rsid w:val="00B76459"/>
    <w:rsid w:val="00B905AC"/>
    <w:rsid w:val="00B97E5E"/>
    <w:rsid w:val="00BC1A89"/>
    <w:rsid w:val="00BD16E5"/>
    <w:rsid w:val="00BE6912"/>
    <w:rsid w:val="00C41505"/>
    <w:rsid w:val="00C86235"/>
    <w:rsid w:val="00CC2FBB"/>
    <w:rsid w:val="00CE3A7B"/>
    <w:rsid w:val="00CE6021"/>
    <w:rsid w:val="00CE6B0C"/>
    <w:rsid w:val="00CE795B"/>
    <w:rsid w:val="00CF7F8F"/>
    <w:rsid w:val="00D12887"/>
    <w:rsid w:val="00D263A8"/>
    <w:rsid w:val="00D27302"/>
    <w:rsid w:val="00D4405A"/>
    <w:rsid w:val="00D539CE"/>
    <w:rsid w:val="00D703D3"/>
    <w:rsid w:val="00D738EB"/>
    <w:rsid w:val="00D8089C"/>
    <w:rsid w:val="00D96F9B"/>
    <w:rsid w:val="00DA3BB5"/>
    <w:rsid w:val="00DA4A0E"/>
    <w:rsid w:val="00DA5598"/>
    <w:rsid w:val="00DB3752"/>
    <w:rsid w:val="00DC3D36"/>
    <w:rsid w:val="00DC6293"/>
    <w:rsid w:val="00DD0F8A"/>
    <w:rsid w:val="00DE15A1"/>
    <w:rsid w:val="00E5510D"/>
    <w:rsid w:val="00E6203E"/>
    <w:rsid w:val="00E63623"/>
    <w:rsid w:val="00E82618"/>
    <w:rsid w:val="00F36E80"/>
    <w:rsid w:val="00F445A5"/>
    <w:rsid w:val="00F727FD"/>
    <w:rsid w:val="00F800F9"/>
    <w:rsid w:val="00FD67F5"/>
    <w:rsid w:val="00FE4A61"/>
    <w:rsid w:val="0181186C"/>
    <w:rsid w:val="060E6ACB"/>
    <w:rsid w:val="06EC8E5E"/>
    <w:rsid w:val="08730E67"/>
    <w:rsid w:val="08A87368"/>
    <w:rsid w:val="12F252DF"/>
    <w:rsid w:val="157F0D29"/>
    <w:rsid w:val="184228AC"/>
    <w:rsid w:val="1B6073CC"/>
    <w:rsid w:val="21613AFB"/>
    <w:rsid w:val="271B44C4"/>
    <w:rsid w:val="2AF41F4A"/>
    <w:rsid w:val="2EB71C3C"/>
    <w:rsid w:val="326C7D9C"/>
    <w:rsid w:val="403236B2"/>
    <w:rsid w:val="40B06A5A"/>
    <w:rsid w:val="4B553E21"/>
    <w:rsid w:val="5E5E6674"/>
    <w:rsid w:val="5E993A95"/>
    <w:rsid w:val="5F9E593F"/>
    <w:rsid w:val="68B539FE"/>
    <w:rsid w:val="6D5863CE"/>
    <w:rsid w:val="7089719E"/>
    <w:rsid w:val="73A319EF"/>
    <w:rsid w:val="7E745D91"/>
    <w:rsid w:val="DECD1042"/>
    <w:rsid w:val="FFF6D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15"/>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FollowedHyperlink"/>
    <w:basedOn w:val="7"/>
    <w:semiHidden/>
    <w:unhideWhenUsed/>
    <w:qFormat/>
    <w:uiPriority w:val="99"/>
    <w:rPr>
      <w:color w:val="954F72"/>
      <w:u w:val="single"/>
    </w:rPr>
  </w:style>
  <w:style w:type="character" w:styleId="10">
    <w:name w:val="Hyperlink"/>
    <w:basedOn w:val="7"/>
    <w:unhideWhenUsed/>
    <w:qFormat/>
    <w:uiPriority w:val="99"/>
    <w:rPr>
      <w:color w:val="0000FF" w:themeColor="hyperlink"/>
      <w:u w:val="single"/>
      <w14:textFill>
        <w14:solidFill>
          <w14:schemeClr w14:val="hlink"/>
        </w14:solidFill>
      </w14:textFill>
    </w:rPr>
  </w:style>
  <w:style w:type="character" w:customStyle="1" w:styleId="11">
    <w:name w:val="日期 Char"/>
    <w:basedOn w:val="7"/>
    <w:link w:val="2"/>
    <w:semiHidden/>
    <w:qFormat/>
    <w:uiPriority w:val="99"/>
  </w:style>
  <w:style w:type="paragraph" w:customStyle="1" w:styleId="12">
    <w:name w:val="页眉与页脚"/>
    <w:qFormat/>
    <w:uiPriority w:val="0"/>
    <w:pPr>
      <w:framePr w:wrap="around" w:vAnchor="margin" w:hAnchor="text" w:y="1"/>
      <w:tabs>
        <w:tab w:val="right" w:pos="9020"/>
      </w:tabs>
    </w:pPr>
    <w:rPr>
      <w:rFonts w:ascii="Helvetica" w:hAnsi="Helvetica" w:eastAsia="Arial Unicode MS" w:cs="Arial Unicode MS"/>
      <w:color w:val="000000"/>
      <w:sz w:val="24"/>
      <w:szCs w:val="24"/>
      <w:lang w:val="en-US" w:eastAsia="zh-CN" w:bidi="ar-SA"/>
    </w:rPr>
  </w:style>
  <w:style w:type="character" w:customStyle="1" w:styleId="13">
    <w:name w:val="页眉 Char"/>
    <w:basedOn w:val="7"/>
    <w:link w:val="5"/>
    <w:qFormat/>
    <w:uiPriority w:val="99"/>
    <w:rPr>
      <w:sz w:val="18"/>
      <w:szCs w:val="18"/>
    </w:rPr>
  </w:style>
  <w:style w:type="character" w:customStyle="1" w:styleId="14">
    <w:name w:val="页脚 Char"/>
    <w:basedOn w:val="7"/>
    <w:link w:val="4"/>
    <w:qFormat/>
    <w:uiPriority w:val="99"/>
    <w:rPr>
      <w:sz w:val="18"/>
      <w:szCs w:val="18"/>
    </w:rPr>
  </w:style>
  <w:style w:type="character" w:customStyle="1" w:styleId="15">
    <w:name w:val="批注框文本 Char"/>
    <w:basedOn w:val="7"/>
    <w:link w:val="3"/>
    <w:semiHidden/>
    <w:qFormat/>
    <w:uiPriority w:val="99"/>
    <w:rPr>
      <w:sz w:val="18"/>
      <w:szCs w:val="18"/>
    </w:rPr>
  </w:style>
  <w:style w:type="paragraph" w:styleId="16">
    <w:name w:val="List Paragraph"/>
    <w:basedOn w:val="1"/>
    <w:qFormat/>
    <w:uiPriority w:val="34"/>
    <w:pPr>
      <w:ind w:firstLine="420" w:firstLineChars="200"/>
    </w:pPr>
  </w:style>
  <w:style w:type="paragraph" w:customStyle="1" w:styleId="17">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9">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0">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1">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font9"/>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3">
    <w:name w:val="font10"/>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4">
    <w:name w:val="font11"/>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5">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6">
    <w:name w:val="font13"/>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7">
    <w:name w:val="font14"/>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8">
    <w:name w:val="font15"/>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9">
    <w:name w:val="font16"/>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30">
    <w:name w:val="font17"/>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31">
    <w:name w:val="font18"/>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32">
    <w:name w:val="font19"/>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33">
    <w:name w:val="xl63"/>
    <w:basedOn w:val="1"/>
    <w:qFormat/>
    <w:uiPriority w:val="0"/>
    <w:pPr>
      <w:widowControl/>
      <w:spacing w:before="100" w:beforeAutospacing="1" w:after="100" w:afterAutospacing="1"/>
      <w:jc w:val="center"/>
    </w:pPr>
    <w:rPr>
      <w:rFonts w:ascii="宋体" w:hAnsi="宋体" w:eastAsia="宋体" w:cs="宋体"/>
      <w:kern w:val="0"/>
      <w:sz w:val="20"/>
      <w:szCs w:val="20"/>
    </w:rPr>
  </w:style>
  <w:style w:type="paragraph" w:customStyle="1" w:styleId="34">
    <w:name w:val="xl64"/>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35">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kern w:val="0"/>
      <w:sz w:val="20"/>
      <w:szCs w:val="20"/>
    </w:rPr>
  </w:style>
  <w:style w:type="paragraph" w:customStyle="1" w:styleId="36">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kern w:val="0"/>
      <w:sz w:val="20"/>
      <w:szCs w:val="20"/>
    </w:rPr>
  </w:style>
  <w:style w:type="paragraph" w:customStyle="1" w:styleId="3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8">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kern w:val="0"/>
      <w:sz w:val="20"/>
      <w:szCs w:val="20"/>
    </w:rPr>
  </w:style>
  <w:style w:type="paragraph" w:customStyle="1" w:styleId="3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3">
    <w:name w:val="xl73"/>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4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46">
    <w:name w:val="xl76"/>
    <w:basedOn w:val="1"/>
    <w:qFormat/>
    <w:uiPriority w:val="0"/>
    <w:pPr>
      <w:widowControl/>
      <w:spacing w:before="100" w:beforeAutospacing="1" w:after="100" w:afterAutospacing="1"/>
      <w:jc w:val="left"/>
    </w:pPr>
    <w:rPr>
      <w:rFonts w:ascii="宋体" w:hAnsi="宋体" w:eastAsia="宋体" w:cs="宋体"/>
      <w:b/>
      <w:bCs/>
      <w:kern w:val="0"/>
      <w:sz w:val="24"/>
      <w:szCs w:val="24"/>
    </w:rPr>
  </w:style>
  <w:style w:type="paragraph" w:customStyle="1" w:styleId="47">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4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4"/>
      <w:szCs w:val="24"/>
    </w:rPr>
  </w:style>
  <w:style w:type="paragraph" w:customStyle="1" w:styleId="4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2">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53">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4">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6"/>
      <w:szCs w:val="16"/>
    </w:rPr>
  </w:style>
  <w:style w:type="paragraph" w:customStyle="1" w:styleId="55">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56">
    <w:name w:val="xl8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5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58">
    <w:name w:val="xl88"/>
    <w:basedOn w:val="1"/>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59">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b/>
      <w:bCs/>
      <w:kern w:val="0"/>
      <w:sz w:val="20"/>
      <w:szCs w:val="20"/>
    </w:rPr>
  </w:style>
  <w:style w:type="paragraph" w:customStyle="1" w:styleId="60">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6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62">
    <w:name w:val="xl92"/>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63">
    <w:name w:val="xl93"/>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64">
    <w:name w:val="xl9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65">
    <w:name w:val="xl9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66">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67">
    <w:name w:val="xl9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68">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69">
    <w:name w:val="xl99"/>
    <w:basedOn w:val="1"/>
    <w:qFormat/>
    <w:uiPriority w:val="0"/>
    <w:pPr>
      <w:widowControl/>
      <w:pBdr>
        <w:bottom w:val="single" w:color="auto" w:sz="4" w:space="0"/>
      </w:pBdr>
      <w:spacing w:before="100" w:beforeAutospacing="1" w:after="100" w:afterAutospacing="1"/>
      <w:jc w:val="center"/>
    </w:pPr>
    <w:rPr>
      <w:rFonts w:ascii="宋体" w:hAnsi="宋体" w:eastAsia="宋体" w:cs="宋体"/>
      <w:b/>
      <w:bCs/>
      <w:kern w:val="0"/>
      <w:sz w:val="40"/>
      <w:szCs w:val="40"/>
    </w:rPr>
  </w:style>
  <w:style w:type="paragraph" w:customStyle="1" w:styleId="70">
    <w:name w:val="xl10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b/>
      <w:bCs/>
      <w:kern w:val="0"/>
      <w:sz w:val="24"/>
      <w:szCs w:val="24"/>
    </w:rPr>
  </w:style>
  <w:style w:type="paragraph" w:customStyle="1" w:styleId="71">
    <w:name w:val="xl101"/>
    <w:basedOn w:val="1"/>
    <w:qFormat/>
    <w:uiPriority w:val="0"/>
    <w:pPr>
      <w:widowControl/>
      <w:pBdr>
        <w:top w:val="single" w:color="auto" w:sz="4" w:space="0"/>
        <w:bottom w:val="single" w:color="auto" w:sz="4" w:space="0"/>
      </w:pBdr>
      <w:spacing w:before="100" w:beforeAutospacing="1" w:after="100" w:afterAutospacing="1"/>
      <w:jc w:val="center"/>
    </w:pPr>
    <w:rPr>
      <w:rFonts w:ascii="黑体" w:hAnsi="黑体" w:eastAsia="黑体" w:cs="宋体"/>
      <w:b/>
      <w:bCs/>
      <w:kern w:val="0"/>
      <w:sz w:val="24"/>
      <w:szCs w:val="24"/>
    </w:rPr>
  </w:style>
  <w:style w:type="paragraph" w:customStyle="1" w:styleId="72">
    <w:name w:val="xl102"/>
    <w:basedOn w:val="1"/>
    <w:qFormat/>
    <w:uiPriority w:val="0"/>
    <w:pPr>
      <w:widowControl/>
      <w:spacing w:before="100" w:beforeAutospacing="1" w:after="100" w:afterAutospacing="1"/>
      <w:jc w:val="center"/>
    </w:pPr>
    <w:rPr>
      <w:rFonts w:ascii="仿宋" w:hAnsi="仿宋" w:eastAsia="仿宋" w:cs="宋体"/>
      <w:kern w:val="0"/>
      <w:szCs w:val="32"/>
    </w:rPr>
  </w:style>
  <w:style w:type="paragraph" w:customStyle="1" w:styleId="73">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kern w:val="0"/>
      <w:sz w:val="24"/>
      <w:szCs w:val="24"/>
    </w:rPr>
  </w:style>
  <w:style w:type="paragraph" w:customStyle="1" w:styleId="74">
    <w:name w:val="正文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75">
    <w:name w:val="纯文本1"/>
    <w:basedOn w:val="1"/>
    <w:qFormat/>
    <w:uiPriority w:val="0"/>
    <w:pPr>
      <w:autoSpaceDE w:val="0"/>
      <w:autoSpaceDN w:val="0"/>
      <w:adjustRightInd w:val="0"/>
    </w:pPr>
    <w:rPr>
      <w:rFonts w:ascii="宋体" w:hAnsi="Times New Roman" w:cs="Times New Roman"/>
      <w:sz w:val="20"/>
      <w:szCs w:val="20"/>
    </w:rPr>
  </w:style>
  <w:style w:type="paragraph" w:customStyle="1" w:styleId="76">
    <w:name w:val="纯文本2"/>
    <w:basedOn w:val="1"/>
    <w:qFormat/>
    <w:uiPriority w:val="0"/>
    <w:pPr>
      <w:autoSpaceDE w:val="0"/>
      <w:autoSpaceDN w:val="0"/>
      <w:adjustRightInd w:val="0"/>
    </w:pPr>
    <w:rPr>
      <w:rFonts w:ascii="宋体"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3742</Words>
  <Characters>3847</Characters>
  <Lines>29</Lines>
  <Paragraphs>8</Paragraphs>
  <TotalTime>12</TotalTime>
  <ScaleCrop>false</ScaleCrop>
  <LinksUpToDate>false</LinksUpToDate>
  <CharactersWithSpaces>3851</CharactersWithSpaces>
  <Application>WPS Office_11.8.2.1123_F1E327BC-269C-435d-A152-05C5408002CA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2022-10-08T23:07:00Z</dcterms:created>
  <dc:creator>xb21cn</dc:creator>
  <cp:lastModifiedBy>user</cp:lastModifiedBy>
  <cp:lastPrinted>2026-02-25T00:09:00Z</cp:lastPrinted>
  <dcterms:modified xsi:type="dcterms:W3CDTF">2026-07-01T16:06:42Z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2052-11.8.2.1123</vt:lpwstr>
  </property>
  <property fmtid="{D5CDD505-2E9C-101B-9397-08002B2CF9AE}" pid="3" name="ICV">
    <vt:lpwstr>2844D76F2EA747C1A68E21FDC5077943</vt:lpwstr>
  </property>
  <property fmtid="{D5CDD505-2E9C-101B-9397-08002B2CF9AE}" pid="4" name="KSOTemplateDocerSaveRecord">
    <vt:lpwstr>eyJoZGlkIjoiMjk1NTM4MWVhY2Y3ZDhkZGEzOGVmMzE2OTQwOWE1NDIiLCJ1c2VySWQiOiI1NTAzMzg3MjkifQ==</vt:lpwstr>
  </property>
</Properties>
</file>