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9435F">
      <w:pPr>
        <w:snapToGrid w:val="0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-630" w:rightChars="-3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附件1</w:t>
      </w:r>
    </w:p>
    <w:p w14:paraId="3266B760">
      <w:pPr>
        <w:snapToGrid w:val="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eastAsia="方正小标宋简体" w:cs="Times New Roman"/>
          <w:b w:val="0"/>
          <w:bCs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一般管理人员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招聘岗位需求表</w:t>
      </w:r>
    </w:p>
    <w:p w14:paraId="61323466">
      <w:pPr>
        <w:snapToGrid w:val="0"/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0" w:firstLineChars="0"/>
        <w:textAlignment w:val="auto"/>
        <w:rPr>
          <w:rFonts w:hint="default" w:ascii="Times New Roman" w:hAnsi="Times New Roman" w:cs="Times New Roman"/>
          <w:sz w:val="18"/>
          <w:szCs w:val="15"/>
          <w:lang w:val="en-US" w:eastAsia="zh-CN"/>
        </w:rPr>
      </w:pPr>
    </w:p>
    <w:tbl>
      <w:tblPr>
        <w:tblStyle w:val="5"/>
        <w:tblW w:w="162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15"/>
        <w:gridCol w:w="1988"/>
        <w:gridCol w:w="870"/>
        <w:gridCol w:w="1665"/>
        <w:gridCol w:w="3585"/>
        <w:gridCol w:w="6346"/>
      </w:tblGrid>
      <w:tr w14:paraId="17896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09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555E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196E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988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0B6A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30FB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665" w:type="dxa"/>
            <w:tcBorders>
              <w:bottom w:val="single" w:color="auto" w:sz="4" w:space="0"/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183C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585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3E4B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634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3A91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</w:tr>
      <w:tr w14:paraId="7832F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4C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B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研究发展部</w:t>
            </w:r>
          </w:p>
        </w:tc>
        <w:tc>
          <w:tcPr>
            <w:tcW w:w="1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2F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一般管理人员</w:t>
            </w:r>
          </w:p>
          <w:p w14:paraId="5388E37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（金融科技方向）</w:t>
            </w:r>
          </w:p>
        </w:tc>
        <w:tc>
          <w:tcPr>
            <w:tcW w:w="87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16B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ABE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年龄不超过40周岁，特别优秀者可放宽至45周岁。</w:t>
            </w:r>
          </w:p>
        </w:tc>
        <w:tc>
          <w:tcPr>
            <w:tcW w:w="3585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7E3D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及以上学历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55BFB08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具有不低于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年的金融、经济、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计算机等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相关工作经验。</w:t>
            </w:r>
          </w:p>
        </w:tc>
        <w:tc>
          <w:tcPr>
            <w:tcW w:w="63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44A9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协助开展金融科技战略研究，跟踪落地情况并开展评估复盘。</w:t>
            </w:r>
          </w:p>
          <w:p w14:paraId="59DDB3F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监测宏观经济与金融科技监管政策，为公司经营发展提供应对建议。</w:t>
            </w:r>
          </w:p>
          <w:p w14:paraId="0FAA54C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开展数字化转型同业跟踪与对标研究，支撑公司业务创新布局。</w:t>
            </w:r>
          </w:p>
          <w:p w14:paraId="4AC688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协助搭建公司数字化转型体系，协助完成招标统筹等相关工作。</w:t>
            </w:r>
          </w:p>
          <w:p w14:paraId="3B76411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both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完成公司安排的其他工作。</w:t>
            </w:r>
          </w:p>
        </w:tc>
      </w:tr>
      <w:tr w14:paraId="7806E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1E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F87E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0B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一般管理人员</w:t>
            </w:r>
          </w:p>
          <w:p w14:paraId="32E9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信托、证券类业务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方向）</w:t>
            </w:r>
          </w:p>
        </w:tc>
        <w:tc>
          <w:tcPr>
            <w:tcW w:w="87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92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6A0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585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D24EF8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研究生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及以上学历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04824E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具有不低于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年的金融、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金融工程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经济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数学、</w:t>
            </w: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投资等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相关工作经验。</w:t>
            </w:r>
          </w:p>
        </w:tc>
        <w:tc>
          <w:tcPr>
            <w:tcW w:w="63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6AFF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协助开展标品信托业务各类研究。</w:t>
            </w:r>
          </w:p>
          <w:p w14:paraId="262118F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监测资本市场、资管行业及信托证券监管政策，开展政策解读分析。</w:t>
            </w:r>
          </w:p>
          <w:p w14:paraId="3611628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跟踪同业机构经营模式、业务创新及市场动态，支撑业务布局。</w:t>
            </w:r>
          </w:p>
          <w:p w14:paraId="170957F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协助搭建公司证券类产品业务体系，梳理各业务板块投研需求。</w:t>
            </w:r>
          </w:p>
          <w:p w14:paraId="1FDA595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default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完成公司安排的其他工作。</w:t>
            </w:r>
          </w:p>
        </w:tc>
      </w:tr>
      <w:tr w14:paraId="167B1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6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4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8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法律合规部</w:t>
            </w:r>
          </w:p>
        </w:tc>
        <w:tc>
          <w:tcPr>
            <w:tcW w:w="19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C0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一般管理人员</w:t>
            </w:r>
          </w:p>
        </w:tc>
        <w:tc>
          <w:tcPr>
            <w:tcW w:w="870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77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9F4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3585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B14DD1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研究生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及以上学历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；</w:t>
            </w:r>
          </w:p>
          <w:p w14:paraId="4BEDA47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具有不低于</w:t>
            </w:r>
            <w:r>
              <w:rPr>
                <w:rFonts w:hint="eastAsia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年的金融、经济、财务、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数学、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法律等相关工作经验。</w:t>
            </w:r>
          </w:p>
        </w:tc>
        <w:tc>
          <w:tcPr>
            <w:tcW w:w="63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4DCF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1.协助建立和完善公司合规管理、内部控制等制度体系。</w:t>
            </w:r>
          </w:p>
          <w:p w14:paraId="38BC0A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2.协助开展合法合规性审查工作。</w:t>
            </w:r>
          </w:p>
          <w:p w14:paraId="2360FD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3.协助与各类外部监管机构、自律组织等相关事务的对接工作。</w:t>
            </w:r>
          </w:p>
          <w:p w14:paraId="27C54A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4.完成公司安排的其他工作。</w:t>
            </w:r>
          </w:p>
        </w:tc>
      </w:tr>
      <w:tr w14:paraId="1F293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81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C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E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6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646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C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3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5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5ECE94F3">
      <w:pPr>
        <w:snapToGrid w:val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5CD30"/>
    <w:multiLevelType w:val="singleLevel"/>
    <w:tmpl w:val="9955CD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32AB808"/>
    <w:multiLevelType w:val="singleLevel"/>
    <w:tmpl w:val="A32AB8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3F37EB1"/>
    <w:multiLevelType w:val="singleLevel"/>
    <w:tmpl w:val="A3F37EB1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C97426A1"/>
    <w:multiLevelType w:val="singleLevel"/>
    <w:tmpl w:val="C97426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C046578"/>
    <w:multiLevelType w:val="singleLevel"/>
    <w:tmpl w:val="EC04657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83E0C"/>
    <w:rsid w:val="319A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600" w:lineRule="exact"/>
      <w:ind w:right="-100" w:rightChars="-100" w:firstLine="560" w:firstLineChars="20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Body Text First Indent 2"/>
    <w:basedOn w:val="3"/>
    <w:next w:val="2"/>
    <w:qFormat/>
    <w:uiPriority w:val="0"/>
    <w:pPr>
      <w:spacing w:after="0"/>
      <w:ind w:left="0" w:leftChars="0" w:firstLine="420" w:firstLineChars="200"/>
    </w:pPr>
    <w:rPr>
      <w:rFonts w:ascii="宋体" w:eastAsia="仿宋_GB2312"/>
      <w:sz w:val="32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</Words>
  <Characters>563</Characters>
  <Lines>0</Lines>
  <Paragraphs>0</Paragraphs>
  <TotalTime>1</TotalTime>
  <ScaleCrop>false</ScaleCrop>
  <LinksUpToDate>false</LinksUpToDate>
  <CharactersWithSpaces>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2026-07-21T06:35:00Z</dcterms:created>
  <dc:creator>Administrator</dc:creator>
  <cp:lastModifiedBy>古欣怡</cp:lastModifiedBy>
  <dcterms:modified xsi:type="dcterms:W3CDTF">2026-07-21T07:53:07Z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eyJoZGlkIjoiOTQ5MDc1N2UzMTdkNGM2MTc5NjBlMzRiZjdjMGM5NmMiLCJ1c2VySWQiOiIyMjg0NTEzMzgifQ==</vt:lpwstr>
  </property>
  <property fmtid="{D5CDD505-2E9C-101B-9397-08002B2CF9AE}" pid="4" name="ICV">
    <vt:lpwstr>5D81BD3E7B18438293D832DED1F6F5D3_12</vt:lpwstr>
  </property>
</Properties>
</file>