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EE3DD">
      <w:pPr>
        <w:widowControl/>
        <w:jc w:val="left"/>
        <w:rPr>
          <w:rFonts w:ascii="Times New Roman" w:hAnsi="Times New Roman" w:eastAsia="仿宋_GB2312" w:cs="Times New Roman"/>
          <w:sz w:val="30"/>
          <w:szCs w:val="30"/>
        </w:rPr>
      </w:pPr>
      <w:bookmarkStart w:id="0" w:name="OLE_LINK20"/>
      <w:r>
        <w:rPr>
          <w:rFonts w:hint="eastAsia" w:ascii="Times New Roman" w:hAnsi="Times New Roman" w:eastAsia="仿宋_GB2312" w:cs="Times New Roman"/>
          <w:sz w:val="30"/>
          <w:szCs w:val="30"/>
        </w:rPr>
        <w:t>附件1</w:t>
      </w:r>
    </w:p>
    <w:p w14:paraId="3458D4F7">
      <w:pPr>
        <w:jc w:val="center"/>
        <w:rPr>
          <w:rFonts w:hint="eastAsia" w:ascii="方正小标宋简体" w:eastAsia="方正小标宋简体"/>
          <w:sz w:val="32"/>
          <w:szCs w:val="36"/>
        </w:rPr>
      </w:pPr>
      <w:bookmarkStart w:id="1" w:name="_Hlk196899870"/>
      <w:r>
        <w:rPr>
          <w:rFonts w:hint="eastAsia" w:ascii="方正小标宋简体" w:eastAsia="方正小标宋简体"/>
          <w:sz w:val="32"/>
          <w:szCs w:val="36"/>
        </w:rPr>
        <w:t>吴仲华班建设制度</w:t>
      </w:r>
    </w:p>
    <w:bookmarkEnd w:id="1"/>
    <w:p w14:paraId="4EEED1AF">
      <w:pPr>
        <w:ind w:firstLine="562" w:firstLineChars="200"/>
        <w:rPr>
          <w:rFonts w:ascii="Times New Roman" w:hAnsi="Times New Roman" w:eastAsia="仿宋_GB2312" w:cs="Times New Roman"/>
          <w:b/>
          <w:bCs/>
          <w:sz w:val="28"/>
          <w:szCs w:val="32"/>
        </w:rPr>
      </w:pPr>
      <w:r>
        <w:rPr>
          <w:rFonts w:ascii="Times New Roman" w:hAnsi="Times New Roman" w:eastAsia="仿宋_GB2312" w:cs="Times New Roman"/>
          <w:b/>
          <w:bCs/>
          <w:sz w:val="28"/>
          <w:szCs w:val="32"/>
        </w:rPr>
        <w:t>一、设立吴仲华班</w:t>
      </w:r>
    </w:p>
    <w:p w14:paraId="3AEF0B21">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东莞理工学院每年在能源动力、动力工程及工程热物理等相关学科专业遴选，协议有效期内每一年招收不超过30名硕士生，组建吴仲华班，由东莞理工学院和工程热物理所共同联合培养，学生数量可根据甲乙两方以及项目建设进度动态调整。</w:t>
      </w:r>
    </w:p>
    <w:p w14:paraId="7F8AC1AF">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吴仲华班研究生具有东莞理工学院学籍，由东莞理工学院授予学位；采用双导师制培养，每位研究生的两位导师分别由工程热物理所和东莞理工学院双方配备。其中以东莞理工学院教师为第一导师，工程热物理研究所教师为第二导师，乙方教师在通过东莞理工学院校外导师资格审核后，以校外导师身份参与研究生培养。</w:t>
      </w:r>
    </w:p>
    <w:p w14:paraId="09354878">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吴仲华班研究生在东莞理工学院进行课程学习，由东莞理工学院负责提供学生住宿、学习条件、奖助学金和医疗保险。课程学习结束后，研究生到工程热物理所本部或东莞基地（东莞新能源研究院）进行科研、实践工作和学位论文工作，由工程热物理所本部或东莞基地（东莞新能源研究院）负责提供学生科研条件，奖助学金、医疗保险待遇与工程热物理所研究生相同，且研究生同时享受东莞理工学院的奖助学金。为保障学生的人身安全，工程热物理所负责学生在工程热物理所从事科研、实践工作期间的保险购买，发生人身伤害等意外事件的赔偿事宜，按所购买保险的相关规定执行。</w:t>
      </w:r>
    </w:p>
    <w:p w14:paraId="5C29DAAA">
      <w:pPr>
        <w:ind w:firstLine="562" w:firstLineChars="200"/>
        <w:rPr>
          <w:rFonts w:ascii="Times New Roman" w:hAnsi="Times New Roman" w:eastAsia="仿宋_GB2312" w:cs="Times New Roman"/>
          <w:b/>
          <w:bCs/>
          <w:sz w:val="28"/>
          <w:szCs w:val="32"/>
        </w:rPr>
      </w:pPr>
      <w:r>
        <w:rPr>
          <w:rFonts w:ascii="Times New Roman" w:hAnsi="Times New Roman" w:eastAsia="仿宋_GB2312" w:cs="Times New Roman"/>
          <w:b/>
          <w:bCs/>
          <w:sz w:val="28"/>
          <w:szCs w:val="32"/>
        </w:rPr>
        <w:t>二、共同提升吴仲华班生源与培养质量</w:t>
      </w:r>
    </w:p>
    <w:p w14:paraId="4CB69901">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1. 择优选拔吴仲华班学生。单列招生指标，以“吴仲华班”名义开展招生宣传，并在普通招生考试生源中择优选拔。</w:t>
      </w:r>
    </w:p>
    <w:p w14:paraId="14188EC3">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2. 奖学金。</w:t>
      </w:r>
      <w:bookmarkStart w:id="2" w:name="_Hlk196899789"/>
      <w:r>
        <w:rPr>
          <w:rFonts w:ascii="Times New Roman" w:hAnsi="Times New Roman" w:eastAsia="仿宋_GB2312" w:cs="Times New Roman"/>
          <w:sz w:val="28"/>
          <w:szCs w:val="32"/>
        </w:rPr>
        <w:t>工程热物理所在吴仲华班设立年度奖学金。每年评选一次，奖励在吴仲华班学业优秀的学生，获奖比例为班级总人数的60%，颁发奖金及奖状，与研究所相关奖项同步评选。</w:t>
      </w:r>
      <w:bookmarkEnd w:id="2"/>
    </w:p>
    <w:p w14:paraId="0D2988B0">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3. 工程热物理研究所参与“吴仲华班”的管理，参加研究生培养方案与教学计划制定，履行研究生教学过程中部分选修课程和前沿讲座的教学任务，课程设置由双方共同协商决定。乙方教师的教学质量需要接受甲方督导，甲方将按照对本校教师的考核要求进行考核，考核不合格的乙方教师退出项目教学。乙方校外导师需承担项目内研究生学位论文指导工作。</w:t>
      </w:r>
    </w:p>
    <w:p w14:paraId="0D6D841C">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 xml:space="preserve">4. 实行项目牵引的合作培养模式。双方联合提供资金支持用于设立吴仲华班项目，项目主题围绕双方优势研究领域，建立以项目为牵引的校所导师（组），为学生提供全过程联合指导，合作开展技术攻关研究。具体项目数量及项目经费，双方另行协商制定。 </w:t>
      </w:r>
    </w:p>
    <w:p w14:paraId="3D71D42E">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5. 吴仲华班学生的专业实践课题、学位论文题目，由甲、乙双方导师协商确定。学生在科研活动中产生的成果，甲乙双方约定按实际贡献署名，规则如下：</w:t>
      </w:r>
    </w:p>
    <w:p w14:paraId="52E5B06B">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(1)硕士研究生为最主要贡献者发表的第一篇论文，研究生署第一作者，甲方导师参与署名；或甲方导师署第一作者，研究生署第二作者，标注单位次序为甲方、乙方；乙方导师署第二作者或第三作者，同时标注为通讯作者。第二篇论文由乙方导师署第一作者和通讯作者，研究生署第二作者。第三篇文章再视贡献情况而定，以此类推。</w:t>
      </w:r>
    </w:p>
    <w:p w14:paraId="50ADCC31">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(2) “吴仲华班”的学生在专利、软件著作权、技术鉴定、奖励等科技成果中原则上不得署名，除非本人为主要贡献者，如属上述情况 ，署名规则由甲乙双方协商决定。</w:t>
      </w:r>
    </w:p>
    <w:p w14:paraId="367F4D0B">
      <w:pPr>
        <w:ind w:firstLine="560" w:firstLineChars="200"/>
        <w:rPr>
          <w:rFonts w:ascii="Times New Roman" w:hAnsi="Times New Roman" w:eastAsia="仿宋_GB2312" w:cs="Times New Roman"/>
          <w:sz w:val="28"/>
          <w:szCs w:val="32"/>
        </w:rPr>
      </w:pPr>
      <w:r>
        <w:rPr>
          <w:rFonts w:ascii="Times New Roman" w:hAnsi="Times New Roman" w:eastAsia="仿宋_GB2312" w:cs="Times New Roman"/>
          <w:sz w:val="28"/>
          <w:szCs w:val="32"/>
        </w:rPr>
        <w:t>(3)甲乙双方导师有其他约定的，科研成果归属由双方导师另议，须经甲乙双方共同批准。</w:t>
      </w:r>
    </w:p>
    <w:p w14:paraId="786E239A">
      <w:pPr>
        <w:widowControl/>
        <w:jc w:val="left"/>
        <w:rPr>
          <w:rFonts w:ascii="Times New Roman" w:hAnsi="Times New Roman" w:eastAsia="仿宋_GB2312" w:cs="Times New Roman"/>
          <w:sz w:val="30"/>
          <w:szCs w:val="30"/>
        </w:rPr>
      </w:pPr>
    </w:p>
    <w:bookmarkEnd w:id="0"/>
    <w:p w14:paraId="3EAAD168">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EA5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2026-06-04T03:42:28Z</dcterms:created>
  <dc:creator>谢</dc:creator>
  <cp:lastModifiedBy>谢尚芳</cp:lastModifiedBy>
  <dcterms:modified xsi:type="dcterms:W3CDTF">2026-06-04T03:42:57Z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eyJoZGlkIjoiODMzYTI5MDJlODQyNTZhMWZhYzY5NjQyY2RlYmI4OTEiLCJ1c2VySWQiOiIyMzEyNTQyNTQifQ==</vt:lpwstr>
  </property>
  <property fmtid="{D5CDD505-2E9C-101B-9397-08002B2CF9AE}" pid="4" name="ICV">
    <vt:lpwstr>A192900DC61C4C73916BBAFCE60633D7_12</vt:lpwstr>
  </property>
</Properties>
</file>