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D0A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32"/>
          <w:sz w:val="32"/>
          <w:szCs w:val="32"/>
          <w:highlight w:val="none"/>
          <w:lang w:val="en-US" w:eastAsia="zh-CN"/>
        </w:rPr>
        <w:t>3</w:t>
      </w:r>
    </w:p>
    <w:p w14:paraId="5C95265C">
      <w:pPr>
        <w:pStyle w:val="2"/>
        <w:ind w:left="0" w:leftChars="0" w:firstLine="0" w:firstLineChars="0"/>
        <w:rPr>
          <w:rFonts w:hint="default"/>
        </w:rPr>
      </w:pPr>
    </w:p>
    <w:p w14:paraId="61F5688A">
      <w:pPr>
        <w:widowControl/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体能测试合格标准</w:t>
      </w:r>
      <w:bookmarkEnd w:id="0"/>
    </w:p>
    <w:tbl>
      <w:tblPr>
        <w:tblStyle w:val="5"/>
        <w:tblpPr w:leftFromText="180" w:rightFromText="180" w:vertAnchor="text" w:horzAnchor="page" w:tblpX="1783" w:tblpY="600"/>
        <w:tblOverlap w:val="never"/>
        <w:tblW w:w="8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958"/>
        <w:gridCol w:w="2959"/>
      </w:tblGrid>
      <w:tr w14:paraId="0838B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项</w:t>
            </w:r>
            <w:r>
              <w:rPr>
                <w:rFonts w:hint="eastAsia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目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6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标</w:t>
            </w:r>
            <w:r>
              <w:rPr>
                <w:rFonts w:hint="eastAsia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准</w:t>
            </w:r>
          </w:p>
        </w:tc>
      </w:tr>
      <w:tr w14:paraId="29DB9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6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3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30岁（含）以下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8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岁（含）以上</w:t>
            </w:r>
          </w:p>
        </w:tc>
      </w:tr>
      <w:tr w14:paraId="214EF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B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纵跳摸高（男）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≧265厘米</w:t>
            </w:r>
          </w:p>
        </w:tc>
      </w:tr>
      <w:tr w14:paraId="383B5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6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10米×4往返跑（男）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≤13″1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≤13″4</w:t>
            </w:r>
          </w:p>
        </w:tc>
      </w:tr>
      <w:tr w14:paraId="66BE4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C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立定跳远 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3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≧2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5厘米</w:t>
            </w:r>
          </w:p>
        </w:tc>
      </w:tr>
    </w:tbl>
    <w:p w14:paraId="72C6E363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bidi="ar"/>
        </w:rPr>
      </w:pPr>
    </w:p>
    <w:p w14:paraId="6869DFAD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bidi="ar"/>
        </w:rPr>
      </w:pPr>
    </w:p>
    <w:p w14:paraId="5D282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注意事项：</w:t>
      </w:r>
    </w:p>
    <w:p w14:paraId="510E25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2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10米×4往返跑测评次数为1次，考生在测评10米×4往返跑前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要多加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练习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纵跳摸高测评次数不超过3次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；立定跳远测评次数不超过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。</w:t>
      </w:r>
    </w:p>
    <w:p w14:paraId="77B0BA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上述项目测评结果得出后均不进行复测或补测。</w:t>
      </w:r>
    </w:p>
    <w:p w14:paraId="24F11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其中一项不达标的，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为体能测评不合格。</w:t>
      </w:r>
    </w:p>
    <w:p w14:paraId="398A1A3A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00" w:lineRule="exact"/>
        <w:ind w:left="0" w:leftChars="0" w:firstLine="0" w:firstLineChars="0"/>
        <w:textAlignment w:val="auto"/>
        <w:rPr>
          <w:rFonts w:hint="default"/>
        </w:rPr>
      </w:pP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4.年龄计算时间截止到参加体能测试当天。</w:t>
      </w:r>
    </w:p>
    <w:p w14:paraId="7FE12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4">
    <w:name w:val="index 6"/>
    <w:basedOn w:val="1"/>
    <w:next w:val="1"/>
    <w:qFormat/>
    <w:uiPriority w:val="0"/>
    <w:rPr>
      <w:rFonts w:ascii="Times New Roman" w:hAnsi="Times New Roman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2026-05-28T02:22:42Z</dcterms:created>
  <dc:creator>77453</dc:creator>
  <cp:lastModifiedBy>尹凡</cp:lastModifiedBy>
  <dcterms:modified xsi:type="dcterms:W3CDTF">2026-05-28T02:22:55Z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eyJoZGlkIjoiMjBmMmE5OTMwNDAzYWJlMzU3NzY3ZjVjNzVhM2YyYTAiLCJ1c2VySWQiOiIyNDg2MjY1MTIifQ==</vt:lpwstr>
  </property>
  <property fmtid="{D5CDD505-2E9C-101B-9397-08002B2CF9AE}" pid="4" name="ICV">
    <vt:lpwstr>4BC96560B5B2404D81EBCA7B7CE2430F_12</vt:lpwstr>
  </property>
</Properties>
</file>