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方正黑体_GBK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47" w:tblpY="505"/>
        <w:tblOverlap w:val="never"/>
        <w:tblW w:w="14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949"/>
        <w:gridCol w:w="1316"/>
        <w:gridCol w:w="704"/>
        <w:gridCol w:w="3460"/>
        <w:gridCol w:w="963"/>
        <w:gridCol w:w="783"/>
        <w:gridCol w:w="1309"/>
        <w:gridCol w:w="1091"/>
        <w:gridCol w:w="1386"/>
        <w:gridCol w:w="1142"/>
        <w:gridCol w:w="703"/>
        <w:gridCol w:w="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1" w:type="dxa"/>
          <w:trHeight w:val="629" w:hRule="atLeast"/>
        </w:trPr>
        <w:tc>
          <w:tcPr>
            <w:tcW w:w="1420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40"/>
                <w:szCs w:val="40"/>
                <w:highlight w:val="none"/>
                <w:lang w:val="en-US" w:eastAsia="zh-CN"/>
              </w:rPr>
              <w:t>公益性岗位工作人员岗位一览表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招聘单位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开发岗位名称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开发岗位数量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岗位要求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用工性质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工作地点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人员类别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学历专业要求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工资待遇（单位：元/月）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是否提供食宿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区医疗保障局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医疗保障服务经办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能主动推进任务，具备多线程工作能力，善于沟通协作；能适应阶段性忙碌，情绪稳定，积极应对临时交办的任务；熟练掌握Word、Excel、PPT，会使用基础公式、文档排版及汇报材料制作；乐于接受新知识，能快速适应工作节奏和环境变化；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有筹备活动经验（校内/社会均可，需在个人简历中说明）或较强文字功底（能独立撰写方案、总结、新闻稿等）者优先。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区医疗保障局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登记失业离校两年内高校毕业生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全日制本科及以上，不限专业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2330元/月，视绩效考核情况发放绩效奖1000元/月。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有工作餐（补），无住宿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7533D"/>
    <w:rsid w:val="6FE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2026-06-10T08:10:00Z</dcterms:created>
  <dc:creator>admin</dc:creator>
  <cp:lastModifiedBy>admin</cp:lastModifiedBy>
  <dcterms:modified xsi:type="dcterms:W3CDTF">2026-06-10T08:11:20Z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