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A31B">
      <w:pPr>
        <w:spacing w:line="500" w:lineRule="exact"/>
        <w:jc w:val="both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CCBD944">
      <w:pPr>
        <w:spacing w:line="5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重庆渝富控股集团所属企业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上半年社会招聘</w:t>
      </w:r>
    </w:p>
    <w:p w14:paraId="7602953F">
      <w:pPr>
        <w:spacing w:line="5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工作职责及任职资格</w:t>
      </w:r>
    </w:p>
    <w:p w14:paraId="5C248BF2">
      <w:pPr>
        <w:pStyle w:val="35"/>
        <w:rPr>
          <w:rFonts w:ascii="Times New Roman" w:hAnsi="Times New Roman"/>
        </w:rPr>
      </w:pPr>
    </w:p>
    <w:tbl>
      <w:tblPr>
        <w:tblStyle w:val="1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966"/>
        <w:gridCol w:w="5137"/>
        <w:gridCol w:w="5805"/>
      </w:tblGrid>
      <w:tr w14:paraId="6B1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</w:trPr>
        <w:tc>
          <w:tcPr>
            <w:tcW w:w="443" w:type="pct"/>
            <w:vAlign w:val="center"/>
          </w:tcPr>
          <w:p w14:paraId="6563613B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需求单位</w:t>
            </w:r>
          </w:p>
        </w:tc>
        <w:tc>
          <w:tcPr>
            <w:tcW w:w="694" w:type="pct"/>
            <w:vAlign w:val="center"/>
          </w:tcPr>
          <w:p w14:paraId="011998B6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</w:t>
            </w:r>
          </w:p>
        </w:tc>
        <w:tc>
          <w:tcPr>
            <w:tcW w:w="1813" w:type="pct"/>
            <w:vAlign w:val="center"/>
          </w:tcPr>
          <w:p w14:paraId="4E0430C5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主要职责</w:t>
            </w:r>
          </w:p>
        </w:tc>
        <w:tc>
          <w:tcPr>
            <w:tcW w:w="2049" w:type="pct"/>
            <w:vAlign w:val="center"/>
          </w:tcPr>
          <w:p w14:paraId="11CFC751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岗位任职资格</w:t>
            </w:r>
          </w:p>
        </w:tc>
      </w:tr>
      <w:tr w14:paraId="2A41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443" w:type="pct"/>
            <w:vAlign w:val="center"/>
          </w:tcPr>
          <w:p w14:paraId="747BEFC2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高质基金</w:t>
            </w:r>
          </w:p>
        </w:tc>
        <w:tc>
          <w:tcPr>
            <w:tcW w:w="694" w:type="pct"/>
            <w:vAlign w:val="center"/>
          </w:tcPr>
          <w:p w14:paraId="00B94D8E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投资岗</w:t>
            </w:r>
          </w:p>
          <w:p w14:paraId="5FE0FC27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7人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0B8DECC9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主导投资项目推进，牵头开展项目尽调和投资分析，项目谈判与交易方案设计；</w:t>
            </w:r>
          </w:p>
          <w:p w14:paraId="5330DD76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负责重点赛道项目源的搜集、筛选与基础对接，实现对优质项目的广泛接触与信息覆盖。</w:t>
            </w:r>
          </w:p>
          <w:p w14:paraId="3B9D3589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开展行业研究工作，调研收集行业资料，跟踪分析行业内企业，挖掘投资机会；</w:t>
            </w:r>
          </w:p>
          <w:p w14:paraId="41FA8DD4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负责项目投后管理及退出工作；</w:t>
            </w:r>
          </w:p>
          <w:p w14:paraId="4A79D0BC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完成领导交办的其他工作。</w:t>
            </w:r>
          </w:p>
        </w:tc>
        <w:tc>
          <w:tcPr>
            <w:tcW w:w="2049" w:type="pct"/>
            <w:vAlign w:val="center"/>
          </w:tcPr>
          <w:p w14:paraId="5F3871ED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38周岁及以下，硕士研究生及以上学历，理学、工学、经济学、管理学、法学相关专业。</w:t>
            </w:r>
          </w:p>
          <w:p w14:paraId="1BDEE82A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具备3年以上经济、金融、投融资相关领域的工作经验，或人工智能、半导体、软件信息、材料化工、生物医药、航空航天等行业研发、工程、制造相关岗位3年以上工作经验。</w:t>
            </w:r>
          </w:p>
          <w:p w14:paraId="3570D2F8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具有上述产业工作经历、私募股权投资机构、大中型企业的股权投资工作经历或券商投研、投行从业经历者优先；</w:t>
            </w:r>
          </w:p>
          <w:p w14:paraId="78C7D750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具有CPA、CFA、法律资格A证、保代等证书者优先；</w:t>
            </w:r>
          </w:p>
          <w:p w14:paraId="25A79D12">
            <w:pPr>
              <w:spacing w:after="160" w:afterLines="50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熟悉尽职调查和风险价值评估，具备较强的项目统筹能力，优秀的沟通谈判及文字表达能力。</w:t>
            </w:r>
          </w:p>
        </w:tc>
      </w:tr>
      <w:tr w14:paraId="4A26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443" w:type="pct"/>
            <w:vAlign w:val="center"/>
          </w:tcPr>
          <w:p w14:paraId="3B1040CC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渝富基金</w:t>
            </w:r>
          </w:p>
        </w:tc>
        <w:tc>
          <w:tcPr>
            <w:tcW w:w="694" w:type="pct"/>
            <w:vAlign w:val="center"/>
          </w:tcPr>
          <w:p w14:paraId="257128DE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业务尽调岗</w:t>
            </w:r>
          </w:p>
          <w:p w14:paraId="61488241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2人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44EB2AF3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组织主导拟投项目的财务、法律尽职调查，撰写尽调报告，揭示相关风险并提出缓释措施。</w:t>
            </w:r>
          </w:p>
          <w:p w14:paraId="3196BD6A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参与业务谈判、交易架构设计及退出安排，提供风控措施建议。</w:t>
            </w:r>
          </w:p>
          <w:p w14:paraId="75FFCCB5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完善公司投后管理工作程序及质量标准，监督投后管理执行。</w:t>
            </w:r>
          </w:p>
          <w:p w14:paraId="2EAABF07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对公司投资决策、交易及对外签订的各类协议、文件等进行风险审查。</w:t>
            </w:r>
          </w:p>
          <w:p w14:paraId="2BAD3870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修订并组织实施风险管理制度，执行公司全面风险管理工作。</w:t>
            </w:r>
          </w:p>
          <w:p w14:paraId="23B0A71D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6. 按内外部要求开展各类风险检查，撰写风险报告。</w:t>
            </w:r>
          </w:p>
          <w:p w14:paraId="3DD4B55A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7. 完成领导交办的其他工作。</w:t>
            </w:r>
          </w:p>
        </w:tc>
        <w:tc>
          <w:tcPr>
            <w:tcW w:w="2049" w:type="pct"/>
            <w:vAlign w:val="center"/>
          </w:tcPr>
          <w:p w14:paraId="37614C10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38周岁及以下，硕士研究生及以上学历，经济学、法学、理学、工学、管理学等相关专业。</w:t>
            </w:r>
          </w:p>
          <w:p w14:paraId="11EA7B74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具备3年以上经济、金融、投融资相关领域的工作经验。</w:t>
            </w:r>
          </w:p>
          <w:p w14:paraId="06E3685C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具有券商投行、私募股权基金、国有大中型机构投资或风险管理相关从业经历者，或会计师事务所、律师事务所从业经历者优先。</w:t>
            </w:r>
          </w:p>
          <w:p w14:paraId="503F61D9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具备基金从业资格证书；具有CPA、CFA、法律资格A证、保代等证书者优先。</w:t>
            </w:r>
          </w:p>
          <w:p w14:paraId="4810DE1F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熟悉国有投资、股权投资业务流程以及相关政策法规，掌握财务尽调、法律尽调方法，能独立识别并评估项目核心风险，具备较强的项目风险处置能力，优秀的沟通协同及报告撰写能力。</w:t>
            </w:r>
          </w:p>
        </w:tc>
      </w:tr>
      <w:tr w14:paraId="2C30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443" w:type="pct"/>
            <w:vAlign w:val="center"/>
          </w:tcPr>
          <w:p w14:paraId="77DAD02C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bookmarkStart w:id="0" w:name="_Hlk211245639"/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科创投集团及所属企业</w:t>
            </w:r>
          </w:p>
        </w:tc>
        <w:tc>
          <w:tcPr>
            <w:tcW w:w="694" w:type="pct"/>
            <w:vAlign w:val="center"/>
          </w:tcPr>
          <w:p w14:paraId="0F5BA3A7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投资岗</w:t>
            </w:r>
          </w:p>
          <w:p w14:paraId="01829831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4人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7984AD40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1. 跟踪基金行业相关领域前沿发展动态，定期撰写行业研究报告；</w:t>
            </w:r>
          </w:p>
          <w:p w14:paraId="64F2B115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2. 负责子基金方案设计、投资谈判，联系对接行业主管部门，协助子基金发起设立；</w:t>
            </w:r>
          </w:p>
          <w:p w14:paraId="478DEF2F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3. 负责对子基金或公司拟投资/退出项目进行全方位研判，完成投资项目的尽职调查、财务分析、项目谈判和投资方案设计等前期工作，把握项目进展，拟定项目尽调报告、投资建议书、投资协议等文件；</w:t>
            </w:r>
          </w:p>
          <w:p w14:paraId="6B29BEE8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4. 公司参股子基金投后管理，处理子基金运营事务，牵头提供增值服务，分析处理子基金运营风险，定期出具子基金运营分析报告，维护子基金运行台账；</w:t>
            </w:r>
          </w:p>
          <w:p w14:paraId="2D993CB0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5.完成领导交办的其他工作。</w:t>
            </w:r>
          </w:p>
        </w:tc>
        <w:tc>
          <w:tcPr>
            <w:tcW w:w="2049" w:type="pct"/>
            <w:vAlign w:val="center"/>
          </w:tcPr>
          <w:p w14:paraId="6CA82302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38周岁及以下，硕士研究生及以上学历，经济学、法学、理学、工学、医学、管理学相关专业；</w:t>
            </w:r>
          </w:p>
          <w:p w14:paraId="1555DBF8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具备3年以上经济、金融、投融资相关领域的工作经验；</w:t>
            </w:r>
          </w:p>
          <w:p w14:paraId="7607D6DC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具有先进制造、科创产业，或股权投资、母基金、子基金管控、政府引导基金从业经历者优先。</w:t>
            </w:r>
          </w:p>
          <w:p w14:paraId="2D31C5E2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具有CPA、CFA、法律资格A证、保代等证书者优先。</w:t>
            </w:r>
          </w:p>
          <w:p w14:paraId="11BD74A3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熟悉基金“募投管退”全流程及PE/VC、资本市场，能独立完成行研、财务分析、尽调及投后管理，逻辑性强，具备行研、谈判、沟通协调及抗压能力，适应高强度投资工作节奏。</w:t>
            </w:r>
          </w:p>
        </w:tc>
      </w:tr>
      <w:tr w14:paraId="2A7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443" w:type="pct"/>
            <w:vAlign w:val="center"/>
          </w:tcPr>
          <w:p w14:paraId="34F3C3BD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科创投集团及所属企业</w:t>
            </w:r>
          </w:p>
        </w:tc>
        <w:tc>
          <w:tcPr>
            <w:tcW w:w="694" w:type="pct"/>
            <w:vAlign w:val="center"/>
          </w:tcPr>
          <w:p w14:paraId="5F183DFB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风险管理岗</w:t>
            </w:r>
          </w:p>
          <w:p w14:paraId="421F0024">
            <w:pPr>
              <w:spacing w:after="160" w:afterLines="50" w:line="24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1人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5975DECE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1.负责对科创基金拟投资子基金、自有资金直接投资项目潜在风险点进行梳理与分析，出具投前风险合规审查意见。</w:t>
            </w:r>
          </w:p>
          <w:p w14:paraId="4E3E1ACD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2.负责对子基金、自有资金直接投资项目投后管理重大事项出具风险合规审查意见。对投后风险事项进行监控。</w:t>
            </w:r>
          </w:p>
          <w:p w14:paraId="4431044E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3.组织开展定期的风险排查、评估与报告以及日常的风险监测，统筹协调处置重大风险事件。</w:t>
            </w:r>
          </w:p>
          <w:p w14:paraId="672562E4">
            <w:pPr>
              <w:spacing w:after="160" w:afterLines="50" w:line="24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4.完成领导交办的其他工作。</w:t>
            </w:r>
          </w:p>
        </w:tc>
        <w:tc>
          <w:tcPr>
            <w:tcW w:w="2049" w:type="pct"/>
            <w:vAlign w:val="center"/>
          </w:tcPr>
          <w:p w14:paraId="3A64B88F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38周岁及以下，硕士研究生及以上学历，经济学、法学、管理学相关专业；</w:t>
            </w:r>
          </w:p>
          <w:p w14:paraId="50D8A796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具备3年以上经济、金融、投融资相关领域的工作经验；</w:t>
            </w:r>
            <w:bookmarkStart w:id="1" w:name="_GoBack"/>
            <w:bookmarkEnd w:id="1"/>
          </w:p>
          <w:p w14:paraId="0DA5A922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具有股权投资机构、私募股权基金管理公司或其他金融投资机构从业经历者优先。</w:t>
            </w:r>
          </w:p>
          <w:p w14:paraId="51FB2307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拥有法律职业资格或注册会计师资格等证书者，具有国内知名律师事务所、会计师事务所实务工作者优先。</w:t>
            </w:r>
          </w:p>
        </w:tc>
      </w:tr>
      <w:bookmarkEnd w:id="0"/>
    </w:tbl>
    <w:p w14:paraId="27D7630C">
      <w:pPr>
        <w:pStyle w:val="35"/>
        <w:tabs>
          <w:tab w:val="left" w:pos="9324"/>
        </w:tabs>
        <w:spacing w:line="440" w:lineRule="exact"/>
        <w:rPr>
          <w:rFonts w:hint="eastAsia" w:eastAsia="方正楷体_GBK"/>
          <w:lang w:eastAsia="zh-CN"/>
        </w:rPr>
      </w:pPr>
      <w:r>
        <w:rPr>
          <w:rFonts w:ascii="Times New Roman" w:hAnsi="Times New Roman" w:eastAsia="方正楷体_GBK" w:cs="方正楷体_GBK"/>
          <w:szCs w:val="24"/>
        </w:rPr>
        <w:t>备注：以上年龄和工作年限的计算以公告发布首日为计算的截止日。</w:t>
      </w:r>
      <w:r>
        <w:rPr>
          <w:rFonts w:hint="eastAsia" w:ascii="Times New Roman" w:hAnsi="Times New Roman" w:eastAsia="方正楷体_GBK" w:cs="方正楷体_GBK"/>
          <w:szCs w:val="24"/>
          <w:lang w:eastAsia="zh-CN"/>
        </w:rPr>
        <w:tab/>
      </w:r>
    </w:p>
    <w:sectPr>
      <w:headerReference r:id="rId3" w:type="default"/>
      <w:pgSz w:w="16838" w:h="11906" w:orient="landscape"/>
      <w:pgMar w:top="1446" w:right="1440" w:bottom="1446" w:left="1440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BC8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5"/>
    <w:rsid w:val="00260D9F"/>
    <w:rsid w:val="004E348D"/>
    <w:rsid w:val="00D70ACD"/>
    <w:rsid w:val="00FD00E5"/>
    <w:rsid w:val="067B371F"/>
    <w:rsid w:val="09C14C6E"/>
    <w:rsid w:val="0FF119EE"/>
    <w:rsid w:val="2BD2C8EA"/>
    <w:rsid w:val="4FB40D76"/>
    <w:rsid w:val="5B6613F6"/>
    <w:rsid w:val="5DE2BE62"/>
    <w:rsid w:val="612B45F3"/>
    <w:rsid w:val="7FFF5CBE"/>
    <w:rsid w:val="DD764BCA"/>
    <w:rsid w:val="EDBFC56C"/>
    <w:rsid w:val="FF9E8C0B"/>
    <w:rsid w:val="FF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页眉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1964</Words>
  <Characters>2162</Characters>
  <Lines>60</Lines>
  <Paragraphs>60</Paragraphs>
  <TotalTime>2</TotalTime>
  <ScaleCrop>false</ScaleCrop>
  <LinksUpToDate>false</LinksUpToDate>
  <CharactersWithSpaces>2178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2025-10-19T20:14:00Z</dcterms:created>
  <dc:creator>Administrator</dc:creator>
  <cp:lastModifiedBy>user</cp:lastModifiedBy>
  <dcterms:modified xsi:type="dcterms:W3CDTF">2026-05-20T20:02:25Z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eyJoZGlkIjoiMTgzYzY5MjUxMzFkOWIyOWZjZmQwZThlYTQzNjE4ZDMiLCJ1c2VySWQiOiIxNDIyMzE1Nzc1In0=</vt:lpwstr>
  </property>
  <property fmtid="{D5CDD505-2E9C-101B-9397-08002B2CF9AE}" pid="3" name="KSOProductBuildVer">
    <vt:lpwstr>2052-12.1.2.22575</vt:lpwstr>
  </property>
  <property fmtid="{D5CDD505-2E9C-101B-9397-08002B2CF9AE}" pid="4" name="ICV">
    <vt:lpwstr>C67B9CEF157FAE7811F0F668396963E7_43</vt:lpwstr>
  </property>
</Properties>
</file>