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10F5E">
      <w:pPr>
        <w:pageBreakBefore w:val="0"/>
        <w:widowControl w:val="0"/>
        <w:kinsoku/>
        <w:wordWrap/>
        <w:overflowPunct/>
        <w:topLinePunct w:val="0"/>
        <w:bidi w:val="0"/>
        <w:adjustRightInd w:val="0"/>
        <w:snapToGrid w:val="0"/>
        <w:spacing w:line="579" w:lineRule="exact"/>
        <w:ind w:left="-57" w:right="-57"/>
        <w:textAlignment w:val="auto"/>
        <w:rPr>
          <w:rFonts w:ascii="黑体" w:hAnsi="黑体" w:eastAsia="黑体" w:cs="黑体"/>
          <w:sz w:val="24"/>
          <w:szCs w:val="24"/>
          <w:lang w:eastAsia="zh-CN"/>
        </w:rPr>
      </w:pPr>
      <w:bookmarkStart w:id="0" w:name="_GoBack"/>
      <w:r>
        <w:rPr>
          <w:rFonts w:hint="eastAsia" w:ascii="黑体" w:hAnsi="黑体" w:eastAsia="黑体" w:cs="黑体"/>
          <w:sz w:val="24"/>
          <w:szCs w:val="24"/>
          <w:lang w:eastAsia="zh-CN"/>
        </w:rPr>
        <w:t>附件</w:t>
      </w:r>
      <w:r>
        <w:rPr>
          <w:rFonts w:ascii="黑体" w:hAnsi="黑体" w:eastAsia="黑体" w:cs="黑体"/>
          <w:sz w:val="24"/>
          <w:szCs w:val="24"/>
          <w:lang w:eastAsia="zh-CN"/>
        </w:rPr>
        <w:t>1</w:t>
      </w:r>
    </w:p>
    <w:p w14:paraId="0283C2AB">
      <w:pPr>
        <w:pStyle w:val="3"/>
        <w:pageBreakBefore w:val="0"/>
        <w:widowControl w:val="0"/>
        <w:kinsoku/>
        <w:wordWrap/>
        <w:overflowPunct/>
        <w:topLinePunct w:val="0"/>
        <w:bidi w:val="0"/>
        <w:spacing w:line="579" w:lineRule="exact"/>
        <w:ind w:right="99"/>
        <w:jc w:val="center"/>
        <w:textAlignment w:val="auto"/>
        <w:rPr>
          <w:lang w:eastAsia="zh-CN"/>
        </w:rPr>
      </w:pPr>
      <w:r>
        <w:rPr>
          <w:rFonts w:hint="eastAsia"/>
          <w:lang w:eastAsia="zh-CN"/>
        </w:rPr>
        <w:t>招聘岗位工作职责</w:t>
      </w:r>
    </w:p>
    <w:bookmarkEnd w:id="0"/>
    <w:p w14:paraId="504A364B">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eastAsia="仿宋_GB2312" w:cs="HiddenHorzOCR"/>
          <w:color w:val="101010"/>
          <w:sz w:val="32"/>
          <w:szCs w:val="32"/>
          <w:lang w:eastAsia="zh-CN"/>
        </w:rPr>
      </w:pPr>
      <w:r>
        <w:rPr>
          <w:rFonts w:ascii="仿宋_GB2312" w:eastAsia="仿宋_GB2312" w:cs="HiddenHorzOCR"/>
          <w:color w:val="101010"/>
          <w:sz w:val="32"/>
          <w:szCs w:val="32"/>
          <w:lang w:eastAsia="zh-CN"/>
        </w:rPr>
        <w:t xml:space="preserve"> </w:t>
      </w:r>
    </w:p>
    <w:p w14:paraId="45C9F799">
      <w:pPr>
        <w:pageBreakBefore w:val="0"/>
        <w:widowControl w:val="0"/>
        <w:kinsoku/>
        <w:wordWrap/>
        <w:overflowPunct/>
        <w:topLinePunct w:val="0"/>
        <w:autoSpaceDE w:val="0"/>
        <w:autoSpaceDN w:val="0"/>
        <w:bidi w:val="0"/>
        <w:adjustRightInd w:val="0"/>
        <w:spacing w:line="579" w:lineRule="exact"/>
        <w:ind w:firstLine="643" w:firstLineChars="200"/>
        <w:textAlignment w:val="auto"/>
        <w:rPr>
          <w:rFonts w:hint="eastAsia" w:ascii="楷体_GB2312" w:eastAsia="楷体_GB2312" w:cs="HiddenHorzOCR"/>
          <w:b/>
          <w:bCs/>
          <w:color w:val="101010"/>
          <w:sz w:val="32"/>
          <w:szCs w:val="32"/>
          <w:lang w:val="en-US" w:eastAsia="zh-CN"/>
        </w:rPr>
      </w:pPr>
      <w:r>
        <w:rPr>
          <w:rFonts w:hint="eastAsia" w:ascii="楷体_GB2312" w:eastAsia="楷体_GB2312" w:cs="HiddenHorzOCR"/>
          <w:b/>
          <w:bCs/>
          <w:color w:val="101010"/>
          <w:sz w:val="32"/>
          <w:szCs w:val="32"/>
          <w:lang w:val="en-US" w:eastAsia="zh-CN"/>
        </w:rPr>
        <w:t>（一）科技创新与数字化部网信安全岗主要职责</w:t>
      </w:r>
    </w:p>
    <w:p w14:paraId="38F5DFD5">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1.负责集团公司网络安全防护，做好网络安全保障，防范网络安全风险。组织网络安全相关技术培训，支持和指导所属单位开展网络安全管理工作。</w:t>
      </w:r>
    </w:p>
    <w:p w14:paraId="5C13B255">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2.负责集团总部网络机房（包含服务器、存储设备、虚拟化平台等）建设运维、办公楼智能化设施使用管理；负责办公电子设备选型、采购、分发、调拨、盘点和处置管理。</w:t>
      </w:r>
    </w:p>
    <w:p w14:paraId="3C9348A4">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3.负责集团公司正版软件推进、国产软件推广和软件资产管理工作，组织推进全集团自建系统自主可控改造与迁移上云。</w:t>
      </w:r>
    </w:p>
    <w:p w14:paraId="3A76A690">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4.建立和完善网络安全、软件资产、办公电子设备、基础设施建设和运维管理相关规范、制度；编制集团本级数字化预算，督导所属单位数字化预算落地实施。</w:t>
      </w:r>
    </w:p>
    <w:p w14:paraId="5E78037A">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5.负责对接上级单位和地方政府网络安全方面的管理、监督和检查工作。</w:t>
      </w:r>
    </w:p>
    <w:p w14:paraId="381DE111">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b w:val="0"/>
          <w:bCs w:val="0"/>
          <w:color w:val="101010"/>
          <w:sz w:val="32"/>
          <w:szCs w:val="32"/>
          <w:lang w:val="en-US" w:eastAsia="zh-CN"/>
        </w:rPr>
      </w:pPr>
      <w:r>
        <w:rPr>
          <w:rFonts w:hint="eastAsia" w:ascii="仿宋_GB2312" w:hAnsi="仿宋_GB2312" w:eastAsia="仿宋_GB2312" w:cs="仿宋_GB2312"/>
          <w:b w:val="0"/>
          <w:bCs w:val="0"/>
          <w:color w:val="101010"/>
          <w:sz w:val="32"/>
          <w:szCs w:val="32"/>
          <w:lang w:val="en-US" w:eastAsia="zh-CN"/>
        </w:rPr>
        <w:t>6.完成领导交办的其他工作。</w:t>
      </w:r>
    </w:p>
    <w:p w14:paraId="4380B8C5">
      <w:pPr>
        <w:pageBreakBefore w:val="0"/>
        <w:widowControl w:val="0"/>
        <w:kinsoku/>
        <w:wordWrap/>
        <w:overflowPunct/>
        <w:topLinePunct w:val="0"/>
        <w:autoSpaceDE w:val="0"/>
        <w:autoSpaceDN w:val="0"/>
        <w:bidi w:val="0"/>
        <w:adjustRightInd w:val="0"/>
        <w:spacing w:line="579" w:lineRule="exact"/>
        <w:ind w:firstLine="643" w:firstLineChars="200"/>
        <w:textAlignment w:val="auto"/>
        <w:rPr>
          <w:rFonts w:hint="eastAsia" w:ascii="楷体_GB2312" w:eastAsia="楷体_GB2312" w:cs="HiddenHorzOCR"/>
          <w:b/>
          <w:bCs/>
          <w:color w:val="101010"/>
          <w:sz w:val="32"/>
          <w:szCs w:val="32"/>
          <w:lang w:val="en-US" w:eastAsia="zh-CN"/>
        </w:rPr>
      </w:pPr>
      <w:r>
        <w:rPr>
          <w:rFonts w:hint="eastAsia" w:ascii="楷体_GB2312" w:eastAsia="楷体_GB2312" w:cs="HiddenHorzOCR"/>
          <w:b/>
          <w:bCs/>
          <w:color w:val="101010"/>
          <w:sz w:val="32"/>
          <w:szCs w:val="32"/>
          <w:lang w:val="en-US" w:eastAsia="zh-CN"/>
        </w:rPr>
        <w:t>（二）党委干部部（人力资源部）干部管理岗主要职责</w:t>
      </w:r>
    </w:p>
    <w:p w14:paraId="48290701">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1.贯彻党的干部政策，配合修制定所属单位领导班子建设和领导人员管理的制度和办法并积极落实。</w:t>
      </w:r>
    </w:p>
    <w:p w14:paraId="3C51B0C5">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2.组织实施领导人员的推荐、考察、任免、考核、调配、交流及日常管理工作。</w:t>
      </w:r>
    </w:p>
    <w:p w14:paraId="3D14E3A6">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3.负责总部及直属机构员工的选聘、任免、考核、晋升、调配、退出及日常管理工作。</w:t>
      </w:r>
    </w:p>
    <w:p w14:paraId="58C079A7">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4.负责优秀年轻干部选拔培养及领导人员后备干部队伍建设。</w:t>
      </w:r>
    </w:p>
    <w:p w14:paraId="334A9847">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5.负责承办所属单位重大事项报告。</w:t>
      </w:r>
    </w:p>
    <w:p w14:paraId="152454E5">
      <w:pPr>
        <w:pageBreakBefore w:val="0"/>
        <w:widowControl w:val="0"/>
        <w:kinsoku/>
        <w:wordWrap/>
        <w:overflowPunct/>
        <w:topLinePunct w:val="0"/>
        <w:autoSpaceDE w:val="0"/>
        <w:autoSpaceDN w:val="0"/>
        <w:bidi w:val="0"/>
        <w:adjustRightInd w:val="0"/>
        <w:spacing w:line="579" w:lineRule="exact"/>
        <w:ind w:firstLine="640" w:firstLineChars="200"/>
        <w:textAlignment w:val="auto"/>
        <w:rPr>
          <w:rFonts w:hint="eastAsia" w:ascii="黑体" w:hAnsi="黑体" w:eastAsia="黑体" w:cs="黑体"/>
          <w:sz w:val="24"/>
          <w:szCs w:val="24"/>
          <w:lang w:eastAsia="zh-CN"/>
        </w:rPr>
      </w:pPr>
      <w:r>
        <w:rPr>
          <w:rFonts w:hint="eastAsia" w:ascii="仿宋_GB2312" w:hAnsi="仿宋_GB2312" w:eastAsia="仿宋_GB2312" w:cs="仿宋_GB2312"/>
          <w:color w:val="auto"/>
          <w:sz w:val="32"/>
          <w:szCs w:val="32"/>
          <w:lang w:val="en-US" w:eastAsia="zh-CN"/>
        </w:rPr>
        <w:t>6.完成领导交办的其他工作。</w:t>
      </w:r>
    </w:p>
    <w:p w14:paraId="50B581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HiddenHorzOCR">
    <w:altName w:val="Yu Gothic"/>
    <w:panose1 w:val="00000000000000000000"/>
    <w:charset w:val="80"/>
    <w:family w:val="auto"/>
    <w:pitch w:val="default"/>
    <w:sig w:usb0="00000000" w:usb1="00000000" w:usb2="00000010" w:usb3="00000000" w:csb0="00020000" w:csb1="00000000"/>
  </w:font>
  <w:font w:name="楷体_GB2312">
    <w:panose1 w:val="02010609030101010101"/>
    <w:charset w:val="86"/>
    <w:family w:val="modern"/>
    <w:pitch w:val="default"/>
    <w:sig w:usb0="00000001" w:usb1="080E0000" w:usb2="00000000" w:usb3="00000000" w:csb0="00040000"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E68F4"/>
    <w:rsid w:val="27EE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等线" w:hAnsi="等线" w:eastAsia="等线" w:cs="Times New Roman"/>
      <w:sz w:val="22"/>
      <w:szCs w:val="22"/>
      <w:lang w:val="en-US" w:eastAsia="en-US" w:bidi="ar-SA"/>
    </w:rPr>
  </w:style>
  <w:style w:type="paragraph" w:styleId="3">
    <w:name w:val="heading 1"/>
    <w:basedOn w:val="1"/>
    <w:qFormat/>
    <w:uiPriority w:val="9"/>
    <w:pPr>
      <w:ind w:left="98"/>
      <w:outlineLvl w:val="0"/>
    </w:pPr>
    <w:rPr>
      <w:rFonts w:ascii="方正小标宋简体" w:hAnsi="方正小标宋简体" w:eastAsia="方正小标宋简体"/>
      <w:sz w:val="44"/>
      <w:szCs w:val="44"/>
    </w:rPr>
  </w:style>
  <w:style w:type="paragraph" w:styleId="2">
    <w:name w:val="heading 4"/>
    <w:basedOn w:val="1"/>
    <w:next w:val="1"/>
    <w:unhideWhenUsed/>
    <w:qFormat/>
    <w:uiPriority w:val="0"/>
    <w:pPr>
      <w:keepNext/>
      <w:keepLines/>
      <w:widowControl w:val="0"/>
      <w:spacing w:before="280" w:beforeLines="0" w:beforeAutospacing="0" w:after="290" w:afterLines="0" w:afterAutospacing="0" w:line="372" w:lineRule="auto"/>
      <w:jc w:val="both"/>
      <w:outlineLvl w:val="3"/>
    </w:pPr>
    <w:rPr>
      <w:rFonts w:ascii="Arial" w:hAnsi="Arial" w:eastAsia="黑体" w:cs="Times New Roman"/>
      <w:b/>
      <w:kern w:val="2"/>
      <w:sz w:val="28"/>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中铁城建</Company>
  <Pages>2</Pages>
  <Words>0</Words>
  <Characters>0</Characters>
  <Lines>0</Lines>
  <Paragraphs>0</Paragraphs>
  <TotalTime>0</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2026-06-09T10:19:00Z</dcterms:created>
  <dc:creator>王杰</dc:creator>
  <cp:lastModifiedBy>王杰</cp:lastModifiedBy>
  <dcterms:modified xsi:type="dcterms:W3CDTF">2026-06-09T10:20:35Z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330D11AAD6EF4F37B5DC33EF11696F08_11</vt:lpwstr>
  </property>
</Properties>
</file>