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6FC13">
      <w:pPr>
        <w:widowControl/>
        <w:spacing w:line="17" w:lineRule="atLeast"/>
        <w:outlineLvl w:val="2"/>
        <w:rPr>
          <w:rFonts w:hint="eastAsia" w:ascii="宋体" w:hAnsi="宋体" w:eastAsia="宋体" w:cs="宋体"/>
          <w:kern w:val="0"/>
          <w:sz w:val="22"/>
          <w:shd w:val="clear" w:color="auto" w:fill="FFFFFF"/>
          <w:lang w:val="en-US" w:eastAsia="zh-CN" w:bidi="ar"/>
        </w:rPr>
      </w:pPr>
      <w:r>
        <w:rPr>
          <w:rFonts w:ascii="宋体" w:hAnsi="宋体" w:eastAsia="宋体" w:cs="宋体"/>
          <w:kern w:val="0"/>
          <w:sz w:val="22"/>
          <w:shd w:val="clear" w:color="auto" w:fill="FFFFFF"/>
          <w:lang w:bidi="ar"/>
        </w:rPr>
        <w:t>附件</w:t>
      </w:r>
      <w:r>
        <w:rPr>
          <w:rFonts w:hint="eastAsia" w:ascii="宋体" w:hAnsi="宋体" w:eastAsia="宋体" w:cs="宋体"/>
          <w:kern w:val="0"/>
          <w:sz w:val="22"/>
          <w:shd w:val="clear" w:color="auto" w:fill="FFFFFF"/>
          <w:lang w:val="en-US" w:eastAsia="zh-CN" w:bidi="ar"/>
        </w:rPr>
        <w:t>1</w:t>
      </w:r>
    </w:p>
    <w:p w14:paraId="11612C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jc w:val="center"/>
        <w:textAlignment w:val="auto"/>
        <w:outlineLvl w:val="2"/>
        <w:rPr>
          <w:rFonts w:hint="eastAsia" w:ascii="宋体" w:hAnsi="宋体" w:eastAsia="宋体" w:cs="Times New Roman"/>
          <w:b/>
          <w:bCs/>
          <w:kern w:val="0"/>
          <w:sz w:val="28"/>
          <w:szCs w:val="28"/>
          <w:lang w:eastAsia="zh-CN"/>
        </w:rPr>
      </w:pPr>
      <w:bookmarkStart w:id="0" w:name="_GoBack"/>
      <w:r>
        <w:rPr>
          <w:rFonts w:ascii="宋体" w:hAnsi="宋体" w:eastAsia="宋体" w:cs="Times New Roman"/>
          <w:b/>
          <w:bCs/>
          <w:kern w:val="0"/>
          <w:sz w:val="28"/>
          <w:szCs w:val="28"/>
        </w:rPr>
        <w:t>北京工商大学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8"/>
        </w:rPr>
        <w:t>数字商科与首都发展创新中心</w:t>
      </w:r>
      <w:r>
        <w:rPr>
          <w:rFonts w:hint="eastAsia" w:ascii="宋体" w:hAnsi="宋体" w:eastAsia="宋体" w:cs="Times New Roman"/>
          <w:b/>
          <w:bCs/>
          <w:kern w:val="0"/>
          <w:sz w:val="28"/>
          <w:szCs w:val="28"/>
          <w:lang w:val="en-US" w:eastAsia="zh-CN"/>
        </w:rPr>
        <w:t>简介</w:t>
      </w:r>
    </w:p>
    <w:bookmarkEnd w:id="0"/>
    <w:p w14:paraId="63FE15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440" w:firstLineChars="200"/>
        <w:textAlignment w:val="auto"/>
        <w:rPr>
          <w:rFonts w:ascii="Times New Roman" w:hAnsi="Times New Roman" w:eastAsia="宋体" w:cs="Times New Roman"/>
          <w:sz w:val="22"/>
          <w:szCs w:val="22"/>
        </w:rPr>
      </w:pPr>
      <w:r>
        <w:rPr>
          <w:rFonts w:ascii="Times New Roman" w:hAnsi="Times New Roman" w:eastAsia="宋体" w:cs="Times New Roman"/>
          <w:sz w:val="22"/>
          <w:szCs w:val="22"/>
        </w:rPr>
        <w:t>北京工商大学是北京市重点建设的高水平研究型大学，办学历史可追溯至1950年，1999年经教育部批准由北京轻工业学院与北京商学院合并组建而成。学校以经济学、管理学、工学为主干学科，形成了理、工、经、管、文、法、艺等多学科相互支撑、协调发展的办学格局。近年来，学校锚定国家“双一流"建设目标，明确商科做强、工科做精、工商融合、双轮驱动”的发展思路，6个学科进入ESI全球排名前1%，连续三年成为国内高校ESI排名进步最快的高校之一，正加速推进特色鲜明的高水平研究型大学建设。</w:t>
      </w:r>
    </w:p>
    <w:p w14:paraId="605D0D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440" w:firstLineChars="200"/>
        <w:textAlignment w:val="auto"/>
        <w:rPr>
          <w:rFonts w:ascii="Times New Roman" w:hAnsi="Times New Roman" w:eastAsia="宋体" w:cs="Times New Roman"/>
          <w:sz w:val="22"/>
          <w:szCs w:val="22"/>
        </w:rPr>
      </w:pPr>
      <w:r>
        <w:rPr>
          <w:rFonts w:ascii="Times New Roman" w:hAnsi="Times New Roman" w:eastAsia="宋体" w:cs="Times New Roman"/>
          <w:sz w:val="22"/>
          <w:szCs w:val="22"/>
        </w:rPr>
        <w:t>为顺应数字经济发展趋势，响应北京国际科创中心、全球数字经济标杆城市和国际消费中心城市建设需求，学校于2023年正式成立</w:t>
      </w:r>
      <w:r>
        <w:rPr>
          <w:rFonts w:hint="eastAsia" w:ascii="Times New Roman" w:hAnsi="Times New Roman" w:eastAsia="宋体" w:cs="Times New Roman"/>
          <w:sz w:val="22"/>
          <w:szCs w:val="22"/>
        </w:rPr>
        <w:t>“</w:t>
      </w:r>
      <w:r>
        <w:rPr>
          <w:rFonts w:ascii="Times New Roman" w:hAnsi="Times New Roman" w:eastAsia="宋体" w:cs="Times New Roman"/>
          <w:sz w:val="22"/>
          <w:szCs w:val="22"/>
        </w:rPr>
        <w:t>数字商科与首都发展创新中心</w:t>
      </w:r>
      <w:r>
        <w:rPr>
          <w:rFonts w:hint="eastAsia" w:ascii="Times New Roman" w:hAnsi="Times New Roman" w:eastAsia="宋体" w:cs="Times New Roman"/>
          <w:sz w:val="22"/>
          <w:szCs w:val="22"/>
        </w:rPr>
        <w:t>”</w:t>
      </w:r>
      <w:r>
        <w:rPr>
          <w:rFonts w:ascii="Times New Roman" w:hAnsi="Times New Roman" w:eastAsia="宋体" w:cs="Times New Roman"/>
          <w:sz w:val="22"/>
          <w:szCs w:val="22"/>
        </w:rPr>
        <w:t>。中心作为全校统筹科研平台，是学校推进商科数字化转型的核心载体和关键抓手。中心以消费大数据建设、数字经济创新研究为主要抓手，聚焦</w:t>
      </w:r>
      <w:r>
        <w:rPr>
          <w:rFonts w:hint="eastAsia" w:ascii="Times New Roman" w:hAnsi="Times New Roman" w:eastAsia="宋体" w:cs="Times New Roman"/>
          <w:sz w:val="22"/>
          <w:szCs w:val="22"/>
        </w:rPr>
        <w:t>“</w:t>
      </w:r>
      <w:r>
        <w:rPr>
          <w:rFonts w:ascii="Times New Roman" w:hAnsi="Times New Roman" w:eastAsia="宋体" w:cs="Times New Roman"/>
          <w:sz w:val="22"/>
          <w:szCs w:val="22"/>
        </w:rPr>
        <w:t>大、智、移、云、物、区</w:t>
      </w:r>
      <w:r>
        <w:rPr>
          <w:rFonts w:hint="eastAsia" w:ascii="Times New Roman" w:hAnsi="Times New Roman" w:eastAsia="宋体" w:cs="Times New Roman"/>
          <w:sz w:val="22"/>
          <w:szCs w:val="22"/>
        </w:rPr>
        <w:t>”</w:t>
      </w:r>
      <w:r>
        <w:rPr>
          <w:rFonts w:ascii="Times New Roman" w:hAnsi="Times New Roman" w:eastAsia="宋体" w:cs="Times New Roman"/>
          <w:sz w:val="22"/>
          <w:szCs w:val="22"/>
        </w:rPr>
        <w:t>（大数据、人工智能、移动互联网、云计算、物联网、区块链）等前沿数字技术在商科领域的融合应用，着力培养</w:t>
      </w:r>
      <w:r>
        <w:rPr>
          <w:rFonts w:hint="eastAsia" w:ascii="Times New Roman" w:hAnsi="Times New Roman" w:eastAsia="宋体" w:cs="Times New Roman"/>
          <w:sz w:val="22"/>
          <w:szCs w:val="22"/>
        </w:rPr>
        <w:t>“</w:t>
      </w:r>
      <w:r>
        <w:rPr>
          <w:rFonts w:ascii="Times New Roman" w:hAnsi="Times New Roman" w:eastAsia="宋体" w:cs="Times New Roman"/>
          <w:sz w:val="22"/>
          <w:szCs w:val="22"/>
        </w:rPr>
        <w:t>数字+商科</w:t>
      </w:r>
      <w:r>
        <w:rPr>
          <w:rFonts w:hint="eastAsia" w:ascii="Times New Roman" w:hAnsi="Times New Roman" w:eastAsia="宋体" w:cs="Times New Roman"/>
          <w:sz w:val="22"/>
          <w:szCs w:val="22"/>
        </w:rPr>
        <w:t>”</w:t>
      </w:r>
      <w:r>
        <w:rPr>
          <w:rFonts w:ascii="Times New Roman" w:hAnsi="Times New Roman" w:eastAsia="宋体" w:cs="Times New Roman"/>
          <w:sz w:val="22"/>
          <w:szCs w:val="22"/>
        </w:rPr>
        <w:t>复合型创新人才，强化交叉融合研究，服务国家及首都重大战略需求。</w:t>
      </w:r>
    </w:p>
    <w:p w14:paraId="39382E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440" w:firstLineChars="200"/>
        <w:textAlignment w:val="auto"/>
        <w:rPr>
          <w:rFonts w:ascii="Times New Roman" w:hAnsi="Times New Roman" w:eastAsia="宋体" w:cs="Times New Roman"/>
          <w:sz w:val="22"/>
          <w:szCs w:val="22"/>
        </w:rPr>
      </w:pPr>
      <w:r>
        <w:rPr>
          <w:rFonts w:ascii="Times New Roman" w:hAnsi="Times New Roman" w:eastAsia="宋体" w:cs="Times New Roman"/>
          <w:sz w:val="22"/>
          <w:szCs w:val="22"/>
        </w:rPr>
        <w:t>在研究布局上，中心以数字技术为基础、数据为驱动要素、消费需求为牵引，系统重构管理学、经济学、社会学等相关学科理论体系，面向北京数字经济产业发展需求，聚焦数字技术如何赋能企业联通消费者与政府，围绕数字消费、数字贸易、数字监管、数字金融、数字管理五大领域，开展有组织科研，促进多学科变革与交叉融合。</w:t>
      </w:r>
    </w:p>
    <w:p w14:paraId="6AC12E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440" w:firstLineChars="200"/>
        <w:textAlignment w:val="auto"/>
        <w:rPr>
          <w:rFonts w:ascii="Times New Roman" w:hAnsi="Times New Roman" w:eastAsia="宋体" w:cs="Times New Roman"/>
          <w:sz w:val="22"/>
          <w:szCs w:val="22"/>
        </w:rPr>
      </w:pPr>
      <w:r>
        <w:rPr>
          <w:rFonts w:ascii="Times New Roman" w:hAnsi="Times New Roman" w:eastAsia="宋体" w:cs="Times New Roman"/>
          <w:sz w:val="22"/>
          <w:szCs w:val="22"/>
        </w:rPr>
        <w:t>中心定期举办</w:t>
      </w:r>
      <w:r>
        <w:rPr>
          <w:rFonts w:hint="eastAsia" w:ascii="Times New Roman" w:hAnsi="Times New Roman" w:eastAsia="宋体" w:cs="Times New Roman"/>
          <w:sz w:val="22"/>
          <w:szCs w:val="22"/>
        </w:rPr>
        <w:t>“</w:t>
      </w:r>
      <w:r>
        <w:rPr>
          <w:rFonts w:ascii="Times New Roman" w:hAnsi="Times New Roman" w:eastAsia="宋体" w:cs="Times New Roman"/>
          <w:sz w:val="22"/>
          <w:szCs w:val="22"/>
        </w:rPr>
        <w:t>数字商科双周研讨会</w:t>
      </w:r>
      <w:r>
        <w:rPr>
          <w:rFonts w:hint="eastAsia" w:ascii="Times New Roman" w:hAnsi="Times New Roman" w:eastAsia="宋体" w:cs="Times New Roman"/>
          <w:sz w:val="22"/>
          <w:szCs w:val="22"/>
        </w:rPr>
        <w:t>”</w:t>
      </w:r>
      <w:r>
        <w:rPr>
          <w:rFonts w:ascii="Times New Roman" w:hAnsi="Times New Roman" w:eastAsia="宋体" w:cs="Times New Roman"/>
          <w:sz w:val="22"/>
          <w:szCs w:val="22"/>
        </w:rPr>
        <w:t>和</w:t>
      </w:r>
      <w:r>
        <w:rPr>
          <w:rFonts w:hint="eastAsia" w:ascii="Times New Roman" w:hAnsi="Times New Roman" w:eastAsia="宋体" w:cs="Times New Roman"/>
          <w:sz w:val="22"/>
          <w:szCs w:val="22"/>
        </w:rPr>
        <w:t>“</w:t>
      </w:r>
      <w:r>
        <w:rPr>
          <w:rFonts w:ascii="Times New Roman" w:hAnsi="Times New Roman" w:eastAsia="宋体" w:cs="Times New Roman"/>
          <w:sz w:val="22"/>
          <w:szCs w:val="22"/>
        </w:rPr>
        <w:t>数字商科大讲堂</w:t>
      </w:r>
      <w:r>
        <w:rPr>
          <w:rFonts w:hint="eastAsia" w:ascii="Times New Roman" w:hAnsi="Times New Roman" w:eastAsia="宋体" w:cs="Times New Roman"/>
          <w:sz w:val="22"/>
          <w:szCs w:val="22"/>
        </w:rPr>
        <w:t>”</w:t>
      </w:r>
      <w:r>
        <w:rPr>
          <w:rFonts w:ascii="Times New Roman" w:hAnsi="Times New Roman" w:eastAsia="宋体" w:cs="Times New Roman"/>
          <w:sz w:val="22"/>
          <w:szCs w:val="22"/>
        </w:rPr>
        <w:t>系列学术活动，搭建高水平学术交流平台，促进师生深度交流，持续提升数字商科领域的科研能力和学术影响力。2024年10月，中心成功承办了以</w:t>
      </w:r>
      <w:r>
        <w:rPr>
          <w:rFonts w:hint="eastAsia" w:ascii="Times New Roman" w:hAnsi="Times New Roman" w:eastAsia="宋体" w:cs="Times New Roman"/>
          <w:sz w:val="22"/>
          <w:szCs w:val="22"/>
        </w:rPr>
        <w:t>“</w:t>
      </w:r>
      <w:r>
        <w:rPr>
          <w:rFonts w:ascii="Times New Roman" w:hAnsi="Times New Roman" w:eastAsia="宋体" w:cs="Times New Roman"/>
          <w:sz w:val="22"/>
          <w:szCs w:val="22"/>
        </w:rPr>
        <w:t>数字商学·洞察·前沿·共享</w:t>
      </w:r>
      <w:r>
        <w:rPr>
          <w:rFonts w:hint="eastAsia" w:ascii="Times New Roman" w:hAnsi="Times New Roman" w:eastAsia="宋体" w:cs="Times New Roman"/>
          <w:sz w:val="22"/>
          <w:szCs w:val="22"/>
        </w:rPr>
        <w:t>”</w:t>
      </w:r>
      <w:r>
        <w:rPr>
          <w:rFonts w:ascii="Times New Roman" w:hAnsi="Times New Roman" w:eastAsia="宋体" w:cs="Times New Roman"/>
          <w:sz w:val="22"/>
          <w:szCs w:val="22"/>
        </w:rPr>
        <w:t>为主题的全球商科数字化教育大会，汇聚海内外60余所高校400余位专家学者，成立了全球商科数字化教育联盟，在国际数字商科教育领域产生了重要影响。</w:t>
      </w:r>
    </w:p>
    <w:p w14:paraId="720A9C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440" w:firstLineChars="200"/>
        <w:textAlignment w:val="auto"/>
        <w:rPr>
          <w:rFonts w:ascii="Times New Roman" w:hAnsi="Times New Roman" w:eastAsia="宋体" w:cs="Times New Roman"/>
          <w:sz w:val="22"/>
          <w:szCs w:val="22"/>
        </w:rPr>
      </w:pPr>
      <w:r>
        <w:rPr>
          <w:rFonts w:ascii="Times New Roman" w:hAnsi="Times New Roman" w:eastAsia="宋体" w:cs="Times New Roman"/>
          <w:sz w:val="22"/>
          <w:szCs w:val="22"/>
        </w:rPr>
        <w:t>面向未来，中心将深入贯彻学校</w:t>
      </w:r>
      <w:r>
        <w:rPr>
          <w:rFonts w:hint="eastAsia" w:ascii="Times New Roman" w:hAnsi="Times New Roman" w:eastAsia="宋体" w:cs="Times New Roman"/>
          <w:sz w:val="22"/>
          <w:szCs w:val="22"/>
        </w:rPr>
        <w:t>“</w:t>
      </w:r>
      <w:r>
        <w:rPr>
          <w:rFonts w:ascii="Times New Roman" w:hAnsi="Times New Roman" w:eastAsia="宋体" w:cs="Times New Roman"/>
          <w:sz w:val="22"/>
          <w:szCs w:val="22"/>
        </w:rPr>
        <w:t>高质量发展、数字化转型、服务好首都</w:t>
      </w:r>
      <w:r>
        <w:rPr>
          <w:rFonts w:hint="eastAsia" w:ascii="Times New Roman" w:hAnsi="Times New Roman" w:eastAsia="宋体" w:cs="Times New Roman"/>
          <w:sz w:val="22"/>
          <w:szCs w:val="22"/>
        </w:rPr>
        <w:t>”</w:t>
      </w:r>
      <w:r>
        <w:rPr>
          <w:rFonts w:ascii="Times New Roman" w:hAnsi="Times New Roman" w:eastAsia="宋体" w:cs="Times New Roman"/>
          <w:sz w:val="22"/>
          <w:szCs w:val="22"/>
        </w:rPr>
        <w:t>的发展原则，继续围绕北京全球数字经济标杆城市和国际消费中心城市建设需求，不断提升在应用经济学、工商管理等商科高精尖学科领域的影响力，为首都经济社会高质量发展贡献北工商智慧。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64586C"/>
    <w:multiLevelType w:val="multilevel"/>
    <w:tmpl w:val="7164586C"/>
    <w:lvl w:ilvl="0" w:tentative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4C"/>
    <w:rsid w:val="000C1635"/>
    <w:rsid w:val="00274A77"/>
    <w:rsid w:val="00340C7A"/>
    <w:rsid w:val="00695B4C"/>
    <w:rsid w:val="00954C66"/>
    <w:rsid w:val="00A32121"/>
    <w:rsid w:val="00A813F5"/>
    <w:rsid w:val="00AF1F0D"/>
    <w:rsid w:val="00DC0AFF"/>
    <w:rsid w:val="00FD71FD"/>
    <w:rsid w:val="5AC162AE"/>
    <w:rsid w:val="7766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ind w:left="425" w:hanging="137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929</Words>
  <Characters>950</Characters>
  <Lines>6</Lines>
  <Paragraphs>1</Paragraphs>
  <TotalTime>6</TotalTime>
  <ScaleCrop>false</ScaleCrop>
  <LinksUpToDate>false</LinksUpToDate>
  <CharactersWithSpaces>950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2026-05-17T22:57:00Z</dcterms:created>
  <dc:creator>Saiwei Li</dc:creator>
  <cp:lastModifiedBy>WPS_1657433194</cp:lastModifiedBy>
  <dcterms:modified xsi:type="dcterms:W3CDTF">2026-05-25T01:11:17Z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eyJoZGlkIjoiOWJkODA5ODQxODE3NDY3MDc2M2NlMTJlOWMwYjY2NjEiLCJ1c2VySWQiOiIxMzg1MjYyMTg3In0=</vt:lpwstr>
  </property>
  <property fmtid="{D5CDD505-2E9C-101B-9397-08002B2CF9AE}" pid="3" name="KSOProductBuildVer">
    <vt:lpwstr>2052-12.1.0.26375</vt:lpwstr>
  </property>
  <property fmtid="{D5CDD505-2E9C-101B-9397-08002B2CF9AE}" pid="4" name="ICV">
    <vt:lpwstr>81D844D87CF64F3F94130302B93D990F_13</vt:lpwstr>
  </property>
</Properties>
</file>