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</w:pPr>
      <w:r>
        <w:rPr>
          <w:rFonts w:hint="default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811" w:tblpY="505"/>
        <w:tblOverlap w:val="never"/>
        <w:tblW w:w="14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55"/>
        <w:gridCol w:w="1325"/>
        <w:gridCol w:w="708"/>
        <w:gridCol w:w="3484"/>
        <w:gridCol w:w="969"/>
        <w:gridCol w:w="788"/>
        <w:gridCol w:w="1318"/>
        <w:gridCol w:w="1098"/>
        <w:gridCol w:w="1396"/>
        <w:gridCol w:w="1150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74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40"/>
                <w:szCs w:val="40"/>
                <w:highlight w:val="none"/>
                <w:lang w:val="en-US" w:eastAsia="zh-CN"/>
              </w:rPr>
              <w:t>公益性岗位工作人员岗位一览表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序号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招聘单位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开发岗位数量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岗位要求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用工性质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工作地点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人员类别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学历专业要求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工资待遇（单位：元/月）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是否提供食宿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方正仿宋_GBK" w:cs="仿宋_GB2312"/>
                <w:b/>
                <w:bCs/>
                <w:color w:val="auto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79" w:lineRule="exact"/>
              <w:jc w:val="center"/>
              <w:textAlignment w:val="auto"/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仿宋_GB2312"/>
                <w:b w:val="0"/>
                <w:bCs w:val="0"/>
                <w:color w:val="auto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区医疗保障局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医疗保障服务经办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能主动推进任务，具备多线程工作能力，善于沟通协作；能适应阶段性忙碌，情绪稳定，积极应对临时交办的任务；熟练掌握Word、Excel、PPT，会使用基础公式、文档排版及汇报材料制作；乐于接受新知识，能快速适应工作节奏和环境变化；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shd w:val="clear" w:fill="FFFFFF"/>
                <w:lang w:val="en-US" w:eastAsia="zh-CN" w:bidi="ar"/>
              </w:rPr>
              <w:t>有筹备活动经验（校内/社会均可，需在个人简历中说明）或较强文字功底（能独立撰写方案、总结、新闻稿等）者优先。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区医疗保障局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登记失业离校两年内高校毕业生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全日制本科及以上，专业不限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2330元/月，视绩效考核情况发放绩效奖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有工作餐，无住宿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A0518"/>
    <w:rsid w:val="43A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2026-05-18T07:46:00Z</dcterms:created>
  <dc:creator>admin</dc:creator>
  <cp:lastModifiedBy>admin</cp:lastModifiedBy>
  <dcterms:modified xsi:type="dcterms:W3CDTF">2026-05-18T07:48:03Z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