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3725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b w:val="0"/>
          <w:spacing w:val="-11"/>
          <w:w w:val="100"/>
          <w:sz w:val="32"/>
          <w:szCs w:val="32"/>
          <w:highlight w:val="none"/>
          <w:lang w:val="en-US" w:eastAsia="zh-CN"/>
        </w:rPr>
      </w:pPr>
      <w:r>
        <w:rPr>
          <w:rFonts w:hint="eastAsia" w:ascii="黑体" w:hAnsi="黑体" w:eastAsia="黑体" w:cs="黑体"/>
          <w:b w:val="0"/>
          <w:spacing w:val="-11"/>
          <w:w w:val="100"/>
          <w:sz w:val="32"/>
          <w:szCs w:val="32"/>
          <w:lang w:val="en-US" w:eastAsia="zh-CN"/>
        </w:rPr>
        <w:t>附件6-2</w:t>
      </w:r>
    </w:p>
    <w:p w14:paraId="5E6B33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黑体" w:eastAsia="方正小标宋简体"/>
          <w:b w:val="0"/>
          <w:spacing w:val="-11"/>
          <w:w w:val="100"/>
          <w:sz w:val="32"/>
          <w:szCs w:val="32"/>
          <w:highlight w:val="none"/>
          <w:lang w:eastAsia="zh-CN"/>
        </w:rPr>
      </w:pPr>
      <w:r>
        <w:rPr>
          <w:rFonts w:hint="eastAsia" w:ascii="方正小标宋简体" w:hAnsi="黑体" w:eastAsia="方正小标宋简体"/>
          <w:b w:val="0"/>
          <w:spacing w:val="-11"/>
          <w:w w:val="100"/>
          <w:sz w:val="32"/>
          <w:szCs w:val="32"/>
          <w:highlight w:val="none"/>
          <w:lang w:val="en-US" w:eastAsia="zh-CN"/>
        </w:rPr>
        <w:t>库伦旗</w:t>
      </w:r>
      <w:r>
        <w:rPr>
          <w:rFonts w:hint="eastAsia" w:ascii="方正小标宋简体" w:hAnsi="黑体" w:eastAsia="方正小标宋简体"/>
          <w:b w:val="0"/>
          <w:spacing w:val="-11"/>
          <w:w w:val="100"/>
          <w:sz w:val="32"/>
          <w:szCs w:val="32"/>
          <w:highlight w:val="none"/>
        </w:rPr>
        <w:t>202</w:t>
      </w:r>
      <w:r>
        <w:rPr>
          <w:rFonts w:hint="eastAsia" w:ascii="方正小标宋简体" w:hAnsi="黑体" w:eastAsia="方正小标宋简体"/>
          <w:b w:val="0"/>
          <w:spacing w:val="-11"/>
          <w:w w:val="100"/>
          <w:sz w:val="32"/>
          <w:szCs w:val="32"/>
          <w:highlight w:val="none"/>
          <w:lang w:val="en-US" w:eastAsia="zh-CN"/>
        </w:rPr>
        <w:t>6</w:t>
      </w:r>
      <w:r>
        <w:rPr>
          <w:rFonts w:hint="eastAsia" w:ascii="方正小标宋简体" w:hAnsi="黑体" w:eastAsia="方正小标宋简体"/>
          <w:b w:val="0"/>
          <w:spacing w:val="-11"/>
          <w:w w:val="100"/>
          <w:sz w:val="32"/>
          <w:szCs w:val="32"/>
          <w:highlight w:val="none"/>
        </w:rPr>
        <w:t>年第</w:t>
      </w:r>
      <w:r>
        <w:rPr>
          <w:rFonts w:hint="eastAsia" w:ascii="方正小标宋简体" w:hAnsi="黑体" w:eastAsia="方正小标宋简体"/>
          <w:b w:val="0"/>
          <w:spacing w:val="-11"/>
          <w:w w:val="100"/>
          <w:sz w:val="32"/>
          <w:szCs w:val="32"/>
          <w:highlight w:val="none"/>
          <w:lang w:val="en-US" w:eastAsia="zh-CN"/>
        </w:rPr>
        <w:t>二</w:t>
      </w:r>
      <w:r>
        <w:rPr>
          <w:rFonts w:hint="eastAsia" w:ascii="方正小标宋简体" w:hAnsi="黑体" w:eastAsia="方正小标宋简体"/>
          <w:b w:val="0"/>
          <w:spacing w:val="-11"/>
          <w:w w:val="100"/>
          <w:sz w:val="32"/>
          <w:szCs w:val="32"/>
          <w:highlight w:val="none"/>
        </w:rPr>
        <w:t>批次人才</w:t>
      </w:r>
      <w:r>
        <w:rPr>
          <w:rFonts w:hint="eastAsia" w:ascii="方正小标宋简体" w:hAnsi="黑体" w:eastAsia="方正小标宋简体"/>
          <w:b w:val="0"/>
          <w:spacing w:val="-11"/>
          <w:w w:val="100"/>
          <w:sz w:val="32"/>
          <w:szCs w:val="32"/>
          <w:highlight w:val="none"/>
          <w:lang w:eastAsia="zh-CN"/>
        </w:rPr>
        <w:t>引进</w:t>
      </w:r>
      <w:r>
        <w:rPr>
          <w:rFonts w:hint="eastAsia" w:ascii="方正小标宋简体" w:hAnsi="黑体" w:eastAsia="方正小标宋简体"/>
          <w:b w:val="0"/>
          <w:spacing w:val="-11"/>
          <w:w w:val="100"/>
          <w:sz w:val="32"/>
          <w:szCs w:val="32"/>
          <w:highlight w:val="none"/>
        </w:rPr>
        <w:t>人才评价表</w:t>
      </w:r>
      <w:r>
        <w:rPr>
          <w:rFonts w:hint="eastAsia" w:ascii="方正小标宋简体" w:hAnsi="黑体" w:eastAsia="方正小标宋简体"/>
          <w:b w:val="0"/>
          <w:spacing w:val="-11"/>
          <w:w w:val="100"/>
          <w:sz w:val="32"/>
          <w:szCs w:val="32"/>
          <w:highlight w:val="none"/>
          <w:lang w:eastAsia="zh-CN"/>
        </w:rPr>
        <w:t>（</w:t>
      </w:r>
      <w:r>
        <w:rPr>
          <w:rFonts w:hint="eastAsia" w:ascii="方正小标宋简体" w:hAnsi="黑体" w:eastAsia="方正小标宋简体"/>
          <w:b w:val="0"/>
          <w:spacing w:val="-11"/>
          <w:w w:val="100"/>
          <w:sz w:val="32"/>
          <w:szCs w:val="32"/>
          <w:highlight w:val="none"/>
          <w:lang w:val="en-US" w:eastAsia="zh-CN"/>
        </w:rPr>
        <w:t>医疗类岗位</w:t>
      </w:r>
      <w:r>
        <w:rPr>
          <w:rFonts w:hint="eastAsia" w:ascii="方正小标宋简体" w:hAnsi="黑体" w:eastAsia="方正小标宋简体"/>
          <w:b w:val="0"/>
          <w:spacing w:val="-11"/>
          <w:w w:val="100"/>
          <w:sz w:val="32"/>
          <w:szCs w:val="32"/>
          <w:highlight w:val="none"/>
          <w:lang w:eastAsia="zh-CN"/>
        </w:rPr>
        <w:t>）</w:t>
      </w:r>
    </w:p>
    <w:p w14:paraId="4BDBC08A">
      <w:pPr>
        <w:keepNext w:val="0"/>
        <w:keepLines w:val="0"/>
        <w:pageBreakBefore w:val="0"/>
        <w:widowControl w:val="0"/>
        <w:kinsoku/>
        <w:wordWrap/>
        <w:overflowPunct/>
        <w:topLinePunct w:val="0"/>
        <w:autoSpaceDE/>
        <w:autoSpaceDN/>
        <w:bidi w:val="0"/>
        <w:adjustRightInd/>
        <w:snapToGrid/>
        <w:spacing w:line="500" w:lineRule="exact"/>
        <w:ind w:firstLine="660" w:firstLineChars="300"/>
        <w:jc w:val="both"/>
        <w:textAlignment w:val="auto"/>
        <w:rPr>
          <w:rFonts w:hint="eastAsia" w:ascii="黑体" w:hAnsi="黑体" w:eastAsia="黑体" w:cs="黑体"/>
          <w:b w:val="0"/>
          <w:spacing w:val="-11"/>
          <w:w w:val="100"/>
          <w:sz w:val="32"/>
          <w:szCs w:val="32"/>
          <w:highlight w:val="none"/>
          <w:lang w:eastAsia="zh-CN"/>
        </w:rPr>
      </w:pPr>
      <w:r>
        <w:rPr>
          <w:rFonts w:hint="eastAsia" w:ascii="黑体" w:hAnsi="黑体" w:eastAsia="黑体" w:cs="黑体"/>
          <w:b w:val="0"/>
          <w:sz w:val="24"/>
          <w:szCs w:val="24"/>
          <w:lang w:eastAsia="zh-CN"/>
        </w:rPr>
        <w:t>报考单位：</w:t>
      </w:r>
      <w:r>
        <w:rPr>
          <w:rFonts w:hint="eastAsia" w:ascii="黑体" w:hAnsi="黑体" w:eastAsia="黑体" w:cs="黑体"/>
          <w:b w:val="0"/>
          <w:sz w:val="24"/>
          <w:szCs w:val="24"/>
          <w:u w:val="single"/>
          <w:lang w:val="en-US" w:eastAsia="zh-CN"/>
        </w:rPr>
        <w:t xml:space="preserve">             </w:t>
      </w:r>
      <w:r>
        <w:rPr>
          <w:rFonts w:hint="eastAsia" w:ascii="黑体" w:hAnsi="黑体" w:eastAsia="黑体" w:cs="黑体"/>
          <w:b w:val="0"/>
          <w:sz w:val="24"/>
          <w:szCs w:val="24"/>
          <w:u w:val="none"/>
          <w:lang w:val="en-US" w:eastAsia="zh-CN"/>
        </w:rPr>
        <w:t xml:space="preserve"> 报考岗位：</w:t>
      </w:r>
      <w:r>
        <w:rPr>
          <w:rFonts w:hint="eastAsia" w:ascii="黑体" w:hAnsi="黑体" w:eastAsia="黑体" w:cs="黑体"/>
          <w:b w:val="0"/>
          <w:sz w:val="24"/>
          <w:szCs w:val="24"/>
          <w:u w:val="single"/>
          <w:lang w:val="en-US" w:eastAsia="zh-CN"/>
        </w:rPr>
        <w:t xml:space="preserve">         </w:t>
      </w:r>
      <w:r>
        <w:rPr>
          <w:rFonts w:hint="eastAsia" w:ascii="黑体" w:hAnsi="黑体" w:eastAsia="黑体" w:cs="黑体"/>
          <w:b w:val="0"/>
          <w:sz w:val="24"/>
          <w:szCs w:val="24"/>
          <w:u w:val="none"/>
          <w:lang w:val="en-US" w:eastAsia="zh-CN"/>
        </w:rPr>
        <w:t xml:space="preserve">   </w:t>
      </w:r>
      <w:r>
        <w:rPr>
          <w:rFonts w:hint="eastAsia" w:ascii="黑体" w:hAnsi="黑体" w:eastAsia="黑体" w:cs="黑体"/>
          <w:b w:val="0"/>
          <w:sz w:val="24"/>
          <w:szCs w:val="24"/>
          <w:lang w:val="en-US" w:eastAsia="zh-CN"/>
        </w:rPr>
        <w:t>自评得分：</w:t>
      </w:r>
      <w:r>
        <w:rPr>
          <w:rFonts w:hint="eastAsia" w:ascii="黑体" w:hAnsi="黑体" w:eastAsia="黑体" w:cs="黑体"/>
          <w:b w:val="0"/>
          <w:sz w:val="24"/>
          <w:szCs w:val="24"/>
          <w:u w:val="single"/>
          <w:lang w:val="en-US" w:eastAsia="zh-CN"/>
        </w:rPr>
        <w:t xml:space="preserve">        </w:t>
      </w:r>
      <w:r>
        <w:rPr>
          <w:rFonts w:hint="eastAsia" w:ascii="黑体" w:hAnsi="黑体" w:eastAsia="黑体" w:cs="黑体"/>
          <w:b w:val="0"/>
          <w:sz w:val="24"/>
          <w:szCs w:val="24"/>
          <w:u w:val="none"/>
          <w:lang w:val="en-US" w:eastAsia="zh-CN"/>
        </w:rPr>
        <w:t xml:space="preserve">  </w:t>
      </w:r>
      <w:r>
        <w:rPr>
          <w:rFonts w:hint="eastAsia" w:ascii="黑体" w:hAnsi="黑体" w:eastAsia="黑体" w:cs="黑体"/>
          <w:b w:val="0"/>
          <w:sz w:val="24"/>
          <w:szCs w:val="24"/>
          <w:lang w:val="en-US" w:eastAsia="zh-CN"/>
        </w:rPr>
        <w:t xml:space="preserve">复核得分： </w:t>
      </w:r>
      <w:r>
        <w:rPr>
          <w:rFonts w:hint="eastAsia" w:ascii="黑体" w:hAnsi="黑体" w:eastAsia="黑体" w:cs="黑体"/>
          <w:b w:val="0"/>
          <w:sz w:val="24"/>
          <w:szCs w:val="24"/>
          <w:u w:val="single"/>
          <w:lang w:val="en-US" w:eastAsia="zh-CN"/>
        </w:rPr>
        <w:t xml:space="preserve">         </w:t>
      </w:r>
    </w:p>
    <w:tbl>
      <w:tblPr>
        <w:tblStyle w:val="5"/>
        <w:tblW w:w="10092" w:type="dxa"/>
        <w:jc w:val="center"/>
        <w:tblLayout w:type="fixed"/>
        <w:tblCellMar>
          <w:top w:w="0" w:type="dxa"/>
          <w:left w:w="108" w:type="dxa"/>
          <w:bottom w:w="0" w:type="dxa"/>
          <w:right w:w="108" w:type="dxa"/>
        </w:tblCellMar>
      </w:tblPr>
      <w:tblGrid>
        <w:gridCol w:w="714"/>
        <w:gridCol w:w="714"/>
        <w:gridCol w:w="5385"/>
        <w:gridCol w:w="640"/>
        <w:gridCol w:w="980"/>
        <w:gridCol w:w="708"/>
        <w:gridCol w:w="951"/>
      </w:tblGrid>
      <w:tr w14:paraId="748201BF">
        <w:tblPrEx>
          <w:tblCellMar>
            <w:top w:w="0" w:type="dxa"/>
            <w:left w:w="108" w:type="dxa"/>
            <w:bottom w:w="0" w:type="dxa"/>
            <w:right w:w="108" w:type="dxa"/>
          </w:tblCellMar>
        </w:tblPrEx>
        <w:trPr>
          <w:trHeight w:val="578"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6F1F64D8">
            <w:pPr>
              <w:widowControl/>
              <w:jc w:val="center"/>
              <w:rPr>
                <w:rFonts w:ascii="黑体" w:hAnsi="黑体" w:eastAsia="黑体" w:cs="宋体"/>
                <w:b w:val="0"/>
                <w:color w:val="000000"/>
                <w:spacing w:val="0"/>
                <w:sz w:val="21"/>
                <w:szCs w:val="24"/>
                <w:highlight w:val="none"/>
              </w:rPr>
            </w:pPr>
            <w:r>
              <w:rPr>
                <w:rFonts w:hint="eastAsia" w:ascii="黑体" w:hAnsi="黑体" w:eastAsia="黑体" w:cs="宋体"/>
                <w:b w:val="0"/>
                <w:color w:val="000000"/>
                <w:spacing w:val="0"/>
                <w:sz w:val="21"/>
                <w:szCs w:val="24"/>
                <w:highlight w:val="none"/>
              </w:rPr>
              <w:t>评</w:t>
            </w:r>
            <w:r>
              <w:rPr>
                <w:rFonts w:ascii="黑体" w:hAnsi="黑体" w:eastAsia="黑体" w:cs="宋体"/>
                <w:b w:val="0"/>
                <w:color w:val="000000"/>
                <w:spacing w:val="0"/>
                <w:sz w:val="21"/>
                <w:szCs w:val="24"/>
                <w:highlight w:val="none"/>
              </w:rPr>
              <w:t>价类别</w:t>
            </w:r>
          </w:p>
        </w:tc>
        <w:tc>
          <w:tcPr>
            <w:tcW w:w="714" w:type="dxa"/>
            <w:tcBorders>
              <w:top w:val="single" w:color="auto" w:sz="4" w:space="0"/>
              <w:left w:val="single" w:color="auto" w:sz="4" w:space="0"/>
              <w:bottom w:val="single" w:color="auto" w:sz="4" w:space="0"/>
              <w:right w:val="single" w:color="auto" w:sz="4" w:space="0"/>
            </w:tcBorders>
            <w:vAlign w:val="center"/>
          </w:tcPr>
          <w:p w14:paraId="7C7A5542">
            <w:pPr>
              <w:widowControl/>
              <w:jc w:val="center"/>
              <w:rPr>
                <w:rFonts w:ascii="黑体" w:hAnsi="黑体" w:eastAsia="黑体" w:cs="宋体"/>
                <w:b w:val="0"/>
                <w:color w:val="000000"/>
                <w:spacing w:val="0"/>
                <w:sz w:val="21"/>
                <w:szCs w:val="24"/>
                <w:highlight w:val="none"/>
              </w:rPr>
            </w:pPr>
            <w:r>
              <w:rPr>
                <w:rFonts w:hint="eastAsia" w:ascii="黑体" w:hAnsi="黑体" w:eastAsia="黑体" w:cs="宋体"/>
                <w:b w:val="0"/>
                <w:color w:val="000000"/>
                <w:spacing w:val="0"/>
                <w:sz w:val="21"/>
                <w:szCs w:val="24"/>
                <w:highlight w:val="none"/>
              </w:rPr>
              <w:t>评价</w:t>
            </w:r>
          </w:p>
          <w:p w14:paraId="2A707099">
            <w:pPr>
              <w:widowControl/>
              <w:jc w:val="center"/>
              <w:rPr>
                <w:rFonts w:ascii="黑体" w:hAnsi="黑体" w:eastAsia="黑体" w:cs="宋体"/>
                <w:b w:val="0"/>
                <w:color w:val="000000"/>
                <w:spacing w:val="0"/>
                <w:sz w:val="21"/>
                <w:szCs w:val="24"/>
                <w:highlight w:val="none"/>
              </w:rPr>
            </w:pPr>
            <w:r>
              <w:rPr>
                <w:rFonts w:hint="eastAsia" w:ascii="黑体" w:hAnsi="黑体" w:eastAsia="黑体" w:cs="宋体"/>
                <w:b w:val="0"/>
                <w:color w:val="000000"/>
                <w:spacing w:val="0"/>
                <w:sz w:val="21"/>
                <w:szCs w:val="24"/>
                <w:highlight w:val="none"/>
              </w:rPr>
              <w:t>项目</w:t>
            </w:r>
          </w:p>
        </w:tc>
        <w:tc>
          <w:tcPr>
            <w:tcW w:w="5385" w:type="dxa"/>
            <w:tcBorders>
              <w:top w:val="single" w:color="auto" w:sz="4" w:space="0"/>
              <w:left w:val="single" w:color="auto" w:sz="4" w:space="0"/>
              <w:bottom w:val="single" w:color="auto" w:sz="4" w:space="0"/>
              <w:right w:val="single" w:color="auto" w:sz="4" w:space="0"/>
            </w:tcBorders>
            <w:vAlign w:val="center"/>
          </w:tcPr>
          <w:p w14:paraId="1D93B892">
            <w:pPr>
              <w:widowControl/>
              <w:jc w:val="center"/>
              <w:rPr>
                <w:rFonts w:ascii="黑体" w:hAnsi="黑体" w:eastAsia="黑体" w:cs="宋体"/>
                <w:b w:val="0"/>
                <w:color w:val="000000"/>
                <w:spacing w:val="0"/>
                <w:sz w:val="21"/>
                <w:szCs w:val="24"/>
                <w:highlight w:val="none"/>
              </w:rPr>
            </w:pPr>
            <w:r>
              <w:rPr>
                <w:rFonts w:hint="eastAsia" w:ascii="黑体" w:hAnsi="黑体" w:eastAsia="黑体" w:cs="宋体"/>
                <w:b w:val="0"/>
                <w:color w:val="000000"/>
                <w:spacing w:val="0"/>
                <w:sz w:val="21"/>
                <w:szCs w:val="24"/>
                <w:highlight w:val="none"/>
              </w:rPr>
              <w:t>赋分标准</w:t>
            </w:r>
          </w:p>
        </w:tc>
        <w:tc>
          <w:tcPr>
            <w:tcW w:w="640" w:type="dxa"/>
            <w:tcBorders>
              <w:top w:val="single" w:color="auto" w:sz="4" w:space="0"/>
              <w:left w:val="single" w:color="auto" w:sz="4" w:space="0"/>
              <w:bottom w:val="single" w:color="auto" w:sz="4" w:space="0"/>
              <w:right w:val="single" w:color="auto" w:sz="4" w:space="0"/>
            </w:tcBorders>
            <w:vAlign w:val="center"/>
          </w:tcPr>
          <w:p w14:paraId="3C0D4527">
            <w:pPr>
              <w:widowControl/>
              <w:jc w:val="center"/>
              <w:rPr>
                <w:rFonts w:ascii="黑体" w:hAnsi="黑体" w:eastAsia="黑体" w:cs="宋体"/>
                <w:b w:val="0"/>
                <w:color w:val="000000"/>
                <w:spacing w:val="0"/>
                <w:sz w:val="21"/>
                <w:szCs w:val="24"/>
                <w:highlight w:val="none"/>
              </w:rPr>
            </w:pPr>
            <w:r>
              <w:rPr>
                <w:rFonts w:hint="eastAsia" w:ascii="黑体" w:hAnsi="黑体" w:eastAsia="黑体" w:cs="宋体"/>
                <w:b w:val="0"/>
                <w:color w:val="000000"/>
                <w:spacing w:val="0"/>
                <w:sz w:val="21"/>
                <w:szCs w:val="24"/>
                <w:highlight w:val="none"/>
              </w:rPr>
              <w:t>赋分</w:t>
            </w:r>
          </w:p>
          <w:p w14:paraId="1E1959CF">
            <w:pPr>
              <w:widowControl/>
              <w:jc w:val="center"/>
              <w:rPr>
                <w:rFonts w:ascii="黑体" w:hAnsi="黑体" w:eastAsia="黑体" w:cs="宋体"/>
                <w:b w:val="0"/>
                <w:color w:val="000000"/>
                <w:spacing w:val="0"/>
                <w:sz w:val="21"/>
                <w:szCs w:val="24"/>
                <w:highlight w:val="none"/>
              </w:rPr>
            </w:pPr>
            <w:r>
              <w:rPr>
                <w:rFonts w:hint="eastAsia" w:ascii="黑体" w:hAnsi="黑体" w:eastAsia="黑体" w:cs="宋体"/>
                <w:b w:val="0"/>
                <w:color w:val="000000"/>
                <w:spacing w:val="0"/>
                <w:sz w:val="21"/>
                <w:szCs w:val="24"/>
                <w:highlight w:val="none"/>
              </w:rPr>
              <w:t>总分</w:t>
            </w:r>
          </w:p>
        </w:tc>
        <w:tc>
          <w:tcPr>
            <w:tcW w:w="980" w:type="dxa"/>
            <w:tcBorders>
              <w:top w:val="single" w:color="auto" w:sz="4" w:space="0"/>
              <w:left w:val="single" w:color="auto" w:sz="4" w:space="0"/>
              <w:bottom w:val="single" w:color="auto" w:sz="4" w:space="0"/>
              <w:right w:val="single" w:color="auto" w:sz="4" w:space="0"/>
            </w:tcBorders>
            <w:vAlign w:val="center"/>
          </w:tcPr>
          <w:p w14:paraId="104AF69F">
            <w:pPr>
              <w:widowControl/>
              <w:jc w:val="center"/>
              <w:rPr>
                <w:rFonts w:ascii="黑体" w:hAnsi="黑体" w:eastAsia="黑体" w:cs="宋体"/>
                <w:b w:val="0"/>
                <w:color w:val="000000"/>
                <w:spacing w:val="0"/>
                <w:sz w:val="21"/>
                <w:szCs w:val="24"/>
                <w:highlight w:val="none"/>
              </w:rPr>
            </w:pPr>
            <w:r>
              <w:rPr>
                <w:rFonts w:hint="eastAsia" w:ascii="黑体" w:hAnsi="黑体" w:eastAsia="黑体" w:cs="宋体"/>
                <w:b w:val="0"/>
                <w:color w:val="000000"/>
                <w:spacing w:val="0"/>
                <w:sz w:val="21"/>
                <w:szCs w:val="24"/>
                <w:highlight w:val="none"/>
              </w:rPr>
              <w:t>自评得分项</w:t>
            </w:r>
          </w:p>
        </w:tc>
        <w:tc>
          <w:tcPr>
            <w:tcW w:w="708" w:type="dxa"/>
            <w:tcBorders>
              <w:top w:val="single" w:color="auto" w:sz="4" w:space="0"/>
              <w:left w:val="single" w:color="auto" w:sz="4" w:space="0"/>
              <w:bottom w:val="single" w:color="auto" w:sz="4" w:space="0"/>
              <w:right w:val="single" w:color="auto" w:sz="4" w:space="0"/>
            </w:tcBorders>
            <w:vAlign w:val="center"/>
          </w:tcPr>
          <w:p w14:paraId="65559CC8">
            <w:pPr>
              <w:widowControl/>
              <w:jc w:val="center"/>
              <w:rPr>
                <w:rFonts w:ascii="黑体" w:hAnsi="黑体" w:eastAsia="黑体" w:cs="宋体"/>
                <w:b w:val="0"/>
                <w:color w:val="000000"/>
                <w:spacing w:val="0"/>
                <w:sz w:val="21"/>
                <w:szCs w:val="24"/>
                <w:highlight w:val="none"/>
              </w:rPr>
            </w:pPr>
            <w:r>
              <w:rPr>
                <w:rFonts w:hint="eastAsia" w:ascii="黑体" w:hAnsi="黑体" w:eastAsia="黑体" w:cs="宋体"/>
                <w:b w:val="0"/>
                <w:color w:val="000000"/>
                <w:spacing w:val="0"/>
                <w:sz w:val="21"/>
                <w:szCs w:val="24"/>
                <w:highlight w:val="none"/>
              </w:rPr>
              <w:t>自评</w:t>
            </w:r>
          </w:p>
          <w:p w14:paraId="699230F8">
            <w:pPr>
              <w:jc w:val="center"/>
              <w:rPr>
                <w:rFonts w:ascii="黑体" w:hAnsi="黑体" w:eastAsia="黑体" w:cs="宋体"/>
                <w:b w:val="0"/>
                <w:color w:val="000000"/>
                <w:spacing w:val="0"/>
                <w:sz w:val="21"/>
                <w:szCs w:val="24"/>
                <w:highlight w:val="none"/>
              </w:rPr>
            </w:pPr>
            <w:r>
              <w:rPr>
                <w:rFonts w:hint="eastAsia" w:ascii="黑体" w:hAnsi="黑体" w:eastAsia="黑体" w:cs="宋体"/>
                <w:b w:val="0"/>
                <w:color w:val="000000"/>
                <w:spacing w:val="0"/>
                <w:sz w:val="21"/>
                <w:szCs w:val="24"/>
                <w:highlight w:val="none"/>
              </w:rPr>
              <w:t>得分</w:t>
            </w:r>
          </w:p>
        </w:tc>
        <w:tc>
          <w:tcPr>
            <w:tcW w:w="951" w:type="dxa"/>
            <w:tcBorders>
              <w:top w:val="single" w:color="auto" w:sz="4" w:space="0"/>
              <w:left w:val="single" w:color="auto" w:sz="4" w:space="0"/>
              <w:bottom w:val="single" w:color="auto" w:sz="4" w:space="0"/>
              <w:right w:val="single" w:color="auto" w:sz="4" w:space="0"/>
            </w:tcBorders>
          </w:tcPr>
          <w:p w14:paraId="485D9514">
            <w:pPr>
              <w:widowControl/>
              <w:jc w:val="center"/>
              <w:rPr>
                <w:rFonts w:ascii="黑体" w:hAnsi="黑体" w:eastAsia="黑体" w:cs="宋体"/>
                <w:b w:val="0"/>
                <w:color w:val="000000"/>
                <w:spacing w:val="0"/>
                <w:sz w:val="21"/>
                <w:szCs w:val="24"/>
                <w:highlight w:val="none"/>
              </w:rPr>
            </w:pPr>
            <w:r>
              <w:rPr>
                <w:rFonts w:hint="eastAsia" w:ascii="黑体" w:hAnsi="黑体" w:eastAsia="黑体" w:cs="宋体"/>
                <w:b w:val="0"/>
                <w:color w:val="000000"/>
                <w:spacing w:val="0"/>
                <w:sz w:val="21"/>
                <w:szCs w:val="24"/>
                <w:highlight w:val="none"/>
              </w:rPr>
              <w:t>引才单位认定得分</w:t>
            </w:r>
          </w:p>
        </w:tc>
      </w:tr>
      <w:tr w14:paraId="4335E6A6">
        <w:tblPrEx>
          <w:tblCellMar>
            <w:top w:w="0" w:type="dxa"/>
            <w:left w:w="108" w:type="dxa"/>
            <w:bottom w:w="0" w:type="dxa"/>
            <w:right w:w="108" w:type="dxa"/>
          </w:tblCellMar>
        </w:tblPrEx>
        <w:trPr>
          <w:trHeight w:val="1950" w:hRule="atLeast"/>
          <w:jc w:val="center"/>
        </w:trPr>
        <w:tc>
          <w:tcPr>
            <w:tcW w:w="714" w:type="dxa"/>
            <w:vMerge w:val="restart"/>
            <w:tcBorders>
              <w:top w:val="single" w:color="auto" w:sz="4" w:space="0"/>
              <w:left w:val="single" w:color="auto" w:sz="4" w:space="0"/>
              <w:right w:val="single" w:color="auto" w:sz="4" w:space="0"/>
            </w:tcBorders>
          </w:tcPr>
          <w:p w14:paraId="4F550F48">
            <w:pPr>
              <w:widowControl/>
              <w:spacing w:line="240" w:lineRule="exact"/>
              <w:jc w:val="center"/>
              <w:rPr>
                <w:rFonts w:ascii="楷体" w:hAnsi="楷体" w:eastAsia="楷体" w:cs="楷体"/>
                <w:b w:val="0"/>
                <w:color w:val="000000"/>
                <w:spacing w:val="0"/>
                <w:sz w:val="24"/>
                <w:szCs w:val="24"/>
                <w:highlight w:val="none"/>
              </w:rPr>
            </w:pPr>
          </w:p>
          <w:p w14:paraId="4BC804F1">
            <w:pPr>
              <w:widowControl/>
              <w:spacing w:line="240" w:lineRule="exact"/>
              <w:jc w:val="center"/>
              <w:rPr>
                <w:rFonts w:ascii="楷体" w:hAnsi="楷体" w:eastAsia="楷体" w:cs="楷体"/>
                <w:b w:val="0"/>
                <w:color w:val="000000"/>
                <w:spacing w:val="0"/>
                <w:sz w:val="24"/>
                <w:szCs w:val="24"/>
                <w:highlight w:val="none"/>
              </w:rPr>
            </w:pPr>
          </w:p>
          <w:p w14:paraId="063519AD">
            <w:pPr>
              <w:widowControl/>
              <w:spacing w:line="240" w:lineRule="exact"/>
              <w:jc w:val="center"/>
              <w:rPr>
                <w:rFonts w:ascii="楷体" w:hAnsi="楷体" w:eastAsia="楷体" w:cs="楷体"/>
                <w:b w:val="0"/>
                <w:color w:val="000000"/>
                <w:spacing w:val="0"/>
                <w:sz w:val="24"/>
                <w:szCs w:val="24"/>
                <w:highlight w:val="none"/>
              </w:rPr>
            </w:pPr>
          </w:p>
          <w:p w14:paraId="71DE7091">
            <w:pPr>
              <w:widowControl/>
              <w:spacing w:line="240" w:lineRule="exact"/>
              <w:jc w:val="center"/>
              <w:rPr>
                <w:rFonts w:ascii="楷体" w:hAnsi="楷体" w:eastAsia="楷体" w:cs="楷体"/>
                <w:b w:val="0"/>
                <w:color w:val="000000"/>
                <w:spacing w:val="0"/>
                <w:sz w:val="24"/>
                <w:szCs w:val="24"/>
                <w:highlight w:val="none"/>
              </w:rPr>
            </w:pPr>
          </w:p>
          <w:p w14:paraId="4BD18B6A">
            <w:pPr>
              <w:widowControl/>
              <w:spacing w:line="240" w:lineRule="exact"/>
              <w:jc w:val="center"/>
              <w:rPr>
                <w:rFonts w:ascii="楷体" w:hAnsi="楷体" w:eastAsia="楷体" w:cs="楷体"/>
                <w:b w:val="0"/>
                <w:color w:val="000000"/>
                <w:spacing w:val="0"/>
                <w:sz w:val="24"/>
                <w:szCs w:val="24"/>
                <w:highlight w:val="none"/>
              </w:rPr>
            </w:pPr>
          </w:p>
          <w:p w14:paraId="460B0909">
            <w:pPr>
              <w:widowControl/>
              <w:spacing w:line="240" w:lineRule="exact"/>
              <w:jc w:val="center"/>
              <w:rPr>
                <w:rFonts w:ascii="楷体" w:hAnsi="楷体" w:eastAsia="楷体" w:cs="楷体"/>
                <w:b w:val="0"/>
                <w:color w:val="000000"/>
                <w:spacing w:val="0"/>
                <w:sz w:val="24"/>
                <w:szCs w:val="24"/>
                <w:highlight w:val="none"/>
              </w:rPr>
            </w:pPr>
          </w:p>
          <w:p w14:paraId="72EA79D3">
            <w:pPr>
              <w:widowControl/>
              <w:spacing w:line="240" w:lineRule="exact"/>
              <w:jc w:val="center"/>
              <w:rPr>
                <w:rFonts w:ascii="楷体" w:hAnsi="楷体" w:eastAsia="楷体" w:cs="楷体"/>
                <w:b w:val="0"/>
                <w:color w:val="000000"/>
                <w:spacing w:val="0"/>
                <w:sz w:val="24"/>
                <w:szCs w:val="24"/>
                <w:highlight w:val="none"/>
              </w:rPr>
            </w:pPr>
          </w:p>
          <w:p w14:paraId="7EDF9013">
            <w:pPr>
              <w:widowControl/>
              <w:spacing w:line="240" w:lineRule="exact"/>
              <w:jc w:val="center"/>
              <w:rPr>
                <w:rFonts w:ascii="楷体" w:hAnsi="楷体" w:eastAsia="楷体" w:cs="楷体"/>
                <w:b w:val="0"/>
                <w:color w:val="000000"/>
                <w:spacing w:val="0"/>
                <w:sz w:val="24"/>
                <w:szCs w:val="24"/>
                <w:highlight w:val="none"/>
              </w:rPr>
            </w:pPr>
          </w:p>
          <w:p w14:paraId="30C22186">
            <w:pPr>
              <w:widowControl/>
              <w:spacing w:line="240" w:lineRule="exact"/>
              <w:jc w:val="center"/>
              <w:rPr>
                <w:rFonts w:ascii="楷体" w:hAnsi="楷体" w:eastAsia="楷体" w:cs="楷体"/>
                <w:b w:val="0"/>
                <w:color w:val="000000"/>
                <w:spacing w:val="0"/>
                <w:sz w:val="24"/>
                <w:szCs w:val="24"/>
                <w:highlight w:val="none"/>
              </w:rPr>
            </w:pPr>
          </w:p>
          <w:p w14:paraId="404FB161">
            <w:pPr>
              <w:widowControl/>
              <w:spacing w:line="240" w:lineRule="exact"/>
              <w:jc w:val="center"/>
              <w:rPr>
                <w:rFonts w:ascii="楷体" w:hAnsi="楷体" w:eastAsia="楷体" w:cs="楷体"/>
                <w:b w:val="0"/>
                <w:color w:val="000000"/>
                <w:spacing w:val="0"/>
                <w:sz w:val="24"/>
                <w:szCs w:val="24"/>
                <w:highlight w:val="none"/>
              </w:rPr>
            </w:pPr>
          </w:p>
          <w:p w14:paraId="7C705B76">
            <w:pPr>
              <w:widowControl/>
              <w:spacing w:line="240" w:lineRule="exact"/>
              <w:jc w:val="center"/>
              <w:rPr>
                <w:rFonts w:ascii="楷体" w:hAnsi="楷体" w:eastAsia="楷体" w:cs="楷体"/>
                <w:b w:val="0"/>
                <w:color w:val="000000"/>
                <w:spacing w:val="0"/>
                <w:sz w:val="24"/>
                <w:szCs w:val="24"/>
                <w:highlight w:val="none"/>
              </w:rPr>
            </w:pPr>
          </w:p>
          <w:p w14:paraId="32AA80A4">
            <w:pPr>
              <w:widowControl/>
              <w:spacing w:line="240" w:lineRule="exact"/>
              <w:jc w:val="center"/>
              <w:rPr>
                <w:rFonts w:ascii="楷体" w:hAnsi="楷体" w:eastAsia="楷体" w:cs="楷体"/>
                <w:b w:val="0"/>
                <w:color w:val="000000"/>
                <w:spacing w:val="0"/>
                <w:sz w:val="24"/>
                <w:szCs w:val="24"/>
                <w:highlight w:val="none"/>
              </w:rPr>
            </w:pPr>
          </w:p>
          <w:p w14:paraId="4781080A">
            <w:pPr>
              <w:widowControl/>
              <w:spacing w:line="240" w:lineRule="exact"/>
              <w:jc w:val="center"/>
              <w:rPr>
                <w:rFonts w:ascii="楷体" w:hAnsi="楷体" w:eastAsia="楷体" w:cs="楷体"/>
                <w:b w:val="0"/>
                <w:color w:val="000000"/>
                <w:spacing w:val="0"/>
                <w:sz w:val="24"/>
                <w:szCs w:val="24"/>
                <w:highlight w:val="none"/>
              </w:rPr>
            </w:pPr>
          </w:p>
          <w:p w14:paraId="69073CAC">
            <w:pPr>
              <w:widowControl/>
              <w:spacing w:line="240" w:lineRule="exact"/>
              <w:jc w:val="center"/>
              <w:rPr>
                <w:rFonts w:ascii="楷体" w:hAnsi="楷体" w:eastAsia="楷体" w:cs="楷体"/>
                <w:b w:val="0"/>
                <w:color w:val="000000"/>
                <w:spacing w:val="0"/>
                <w:sz w:val="24"/>
                <w:szCs w:val="24"/>
                <w:highlight w:val="none"/>
              </w:rPr>
            </w:pPr>
          </w:p>
          <w:p w14:paraId="0C3752D1">
            <w:pPr>
              <w:widowControl/>
              <w:spacing w:line="240" w:lineRule="exact"/>
              <w:jc w:val="center"/>
              <w:rPr>
                <w:rFonts w:ascii="楷体" w:hAnsi="楷体" w:eastAsia="楷体" w:cs="楷体"/>
                <w:b w:val="0"/>
                <w:color w:val="000000"/>
                <w:spacing w:val="0"/>
                <w:sz w:val="24"/>
                <w:szCs w:val="24"/>
                <w:highlight w:val="none"/>
              </w:rPr>
            </w:pPr>
          </w:p>
          <w:p w14:paraId="19C16967">
            <w:pPr>
              <w:widowControl/>
              <w:spacing w:line="240" w:lineRule="exact"/>
              <w:jc w:val="center"/>
              <w:rPr>
                <w:rFonts w:ascii="楷体" w:hAnsi="楷体" w:eastAsia="楷体" w:cs="楷体"/>
                <w:b w:val="0"/>
                <w:color w:val="000000"/>
                <w:spacing w:val="0"/>
                <w:sz w:val="24"/>
                <w:szCs w:val="24"/>
                <w:highlight w:val="none"/>
              </w:rPr>
            </w:pPr>
          </w:p>
          <w:p w14:paraId="6B7783D3">
            <w:pPr>
              <w:widowControl/>
              <w:spacing w:line="240" w:lineRule="exact"/>
              <w:jc w:val="center"/>
              <w:rPr>
                <w:rFonts w:ascii="楷体" w:hAnsi="楷体" w:eastAsia="楷体" w:cs="楷体"/>
                <w:b w:val="0"/>
                <w:color w:val="000000"/>
                <w:spacing w:val="0"/>
                <w:sz w:val="24"/>
                <w:szCs w:val="24"/>
                <w:highlight w:val="none"/>
              </w:rPr>
            </w:pPr>
          </w:p>
          <w:p w14:paraId="6A0972AC">
            <w:pPr>
              <w:widowControl/>
              <w:spacing w:line="240" w:lineRule="exact"/>
              <w:jc w:val="center"/>
              <w:rPr>
                <w:rFonts w:ascii="楷体" w:hAnsi="楷体" w:eastAsia="楷体" w:cs="楷体"/>
                <w:b w:val="0"/>
                <w:color w:val="000000"/>
                <w:spacing w:val="0"/>
                <w:sz w:val="24"/>
                <w:szCs w:val="24"/>
                <w:highlight w:val="none"/>
              </w:rPr>
            </w:pPr>
          </w:p>
          <w:p w14:paraId="1EA235D5">
            <w:pPr>
              <w:widowControl/>
              <w:spacing w:line="240" w:lineRule="exact"/>
              <w:jc w:val="center"/>
              <w:rPr>
                <w:rFonts w:ascii="楷体" w:hAnsi="楷体" w:eastAsia="楷体" w:cs="楷体"/>
                <w:b w:val="0"/>
                <w:color w:val="000000"/>
                <w:spacing w:val="0"/>
                <w:sz w:val="24"/>
                <w:szCs w:val="24"/>
                <w:highlight w:val="none"/>
              </w:rPr>
            </w:pPr>
          </w:p>
          <w:p w14:paraId="63FD9C8B">
            <w:pPr>
              <w:widowControl/>
              <w:spacing w:line="240" w:lineRule="exact"/>
              <w:jc w:val="center"/>
              <w:rPr>
                <w:rFonts w:ascii="楷体" w:hAnsi="楷体" w:eastAsia="楷体" w:cs="楷体"/>
                <w:b w:val="0"/>
                <w:color w:val="000000"/>
                <w:spacing w:val="0"/>
                <w:sz w:val="24"/>
                <w:szCs w:val="24"/>
                <w:highlight w:val="none"/>
              </w:rPr>
            </w:pPr>
          </w:p>
          <w:p w14:paraId="5811EC56">
            <w:pPr>
              <w:widowControl/>
              <w:spacing w:line="240" w:lineRule="exact"/>
              <w:jc w:val="center"/>
              <w:rPr>
                <w:rFonts w:ascii="楷体" w:hAnsi="楷体" w:eastAsia="楷体" w:cs="楷体"/>
                <w:b w:val="0"/>
                <w:color w:val="000000"/>
                <w:spacing w:val="0"/>
                <w:sz w:val="24"/>
                <w:szCs w:val="24"/>
                <w:highlight w:val="none"/>
              </w:rPr>
            </w:pPr>
            <w:r>
              <w:rPr>
                <w:rFonts w:hint="eastAsia" w:ascii="楷体" w:hAnsi="楷体" w:eastAsia="楷体" w:cs="楷体"/>
                <w:b w:val="0"/>
                <w:color w:val="000000"/>
                <w:spacing w:val="0"/>
                <w:sz w:val="24"/>
                <w:szCs w:val="24"/>
                <w:highlight w:val="none"/>
              </w:rPr>
              <w:t>评价项目</w:t>
            </w:r>
          </w:p>
        </w:tc>
        <w:tc>
          <w:tcPr>
            <w:tcW w:w="714" w:type="dxa"/>
            <w:vMerge w:val="restart"/>
            <w:tcBorders>
              <w:top w:val="single" w:color="auto" w:sz="4" w:space="0"/>
              <w:left w:val="single" w:color="auto" w:sz="4" w:space="0"/>
              <w:bottom w:val="single" w:color="auto" w:sz="4" w:space="0"/>
              <w:right w:val="single" w:color="auto" w:sz="4" w:space="0"/>
            </w:tcBorders>
            <w:vAlign w:val="center"/>
          </w:tcPr>
          <w:p w14:paraId="0B17521F">
            <w:pPr>
              <w:widowControl/>
              <w:spacing w:line="240" w:lineRule="exact"/>
              <w:jc w:val="center"/>
              <w:rPr>
                <w:rFonts w:ascii="楷体" w:hAnsi="楷体" w:eastAsia="楷体" w:cs="楷体"/>
                <w:b w:val="0"/>
                <w:color w:val="000000"/>
                <w:spacing w:val="0"/>
                <w:sz w:val="24"/>
                <w:szCs w:val="24"/>
                <w:highlight w:val="none"/>
              </w:rPr>
            </w:pPr>
            <w:r>
              <w:rPr>
                <w:rFonts w:hint="eastAsia" w:ascii="楷体" w:hAnsi="楷体" w:eastAsia="楷体" w:cs="楷体"/>
                <w:b w:val="0"/>
                <w:color w:val="000000"/>
                <w:spacing w:val="0"/>
                <w:sz w:val="24"/>
                <w:szCs w:val="24"/>
                <w:highlight w:val="none"/>
              </w:rPr>
              <w:t>专业层次</w:t>
            </w:r>
          </w:p>
        </w:tc>
        <w:tc>
          <w:tcPr>
            <w:tcW w:w="5385" w:type="dxa"/>
            <w:tcBorders>
              <w:top w:val="single" w:color="auto" w:sz="4" w:space="0"/>
              <w:left w:val="single" w:color="auto" w:sz="4" w:space="0"/>
              <w:bottom w:val="single" w:color="auto" w:sz="4" w:space="0"/>
              <w:right w:val="single" w:color="auto" w:sz="4" w:space="0"/>
            </w:tcBorders>
            <w:vAlign w:val="center"/>
          </w:tcPr>
          <w:p w14:paraId="4F8DA7B8">
            <w:pPr>
              <w:widowControl/>
              <w:spacing w:line="240" w:lineRule="exact"/>
              <w:rPr>
                <w:rFonts w:hint="eastAsia" w:cs="宋体"/>
                <w:b w:val="0"/>
                <w:color w:val="000000" w:themeColor="text1"/>
                <w:spacing w:val="-4"/>
                <w:sz w:val="21"/>
                <w:szCs w:val="21"/>
                <w:highlight w:val="none"/>
                <w14:textFill>
                  <w14:solidFill>
                    <w14:schemeClr w14:val="tx1"/>
                  </w14:solidFill>
                </w14:textFill>
              </w:rPr>
            </w:pPr>
            <w:r>
              <w:rPr>
                <w:rFonts w:hint="eastAsia" w:cs="宋体"/>
                <w:bCs/>
                <w:color w:val="000000" w:themeColor="text1"/>
                <w:spacing w:val="-4"/>
                <w:sz w:val="21"/>
                <w:szCs w:val="21"/>
                <w:highlight w:val="none"/>
                <w14:textFill>
                  <w14:solidFill>
                    <w14:schemeClr w14:val="tx1"/>
                  </w14:solidFill>
                </w14:textFill>
              </w:rPr>
              <w:t>本 科</w:t>
            </w:r>
            <w:r>
              <w:rPr>
                <w:rFonts w:hint="eastAsia" w:cs="宋体"/>
                <w:b w:val="0"/>
                <w:color w:val="000000" w:themeColor="text1"/>
                <w:spacing w:val="-4"/>
                <w:sz w:val="21"/>
                <w:szCs w:val="21"/>
                <w:highlight w:val="none"/>
                <w14:textFill>
                  <w14:solidFill>
                    <w14:schemeClr w14:val="tx1"/>
                  </w14:solidFill>
                </w14:textFill>
              </w:rPr>
              <w:t>：</w:t>
            </w:r>
          </w:p>
          <w:p w14:paraId="758D3670">
            <w:pPr>
              <w:widowControl/>
              <w:spacing w:line="240" w:lineRule="exact"/>
              <w:rPr>
                <w:rFonts w:hint="eastAsia" w:eastAsia="宋体" w:cs="宋体"/>
                <w:b w:val="0"/>
                <w:color w:val="000000" w:themeColor="text1"/>
                <w:spacing w:val="-4"/>
                <w:sz w:val="21"/>
                <w:szCs w:val="21"/>
                <w:highlight w:val="none"/>
                <w:lang w:val="en-US" w:eastAsia="zh-CN"/>
                <w14:textFill>
                  <w14:solidFill>
                    <w14:schemeClr w14:val="tx1"/>
                  </w14:solidFill>
                </w14:textFill>
              </w:rPr>
            </w:pPr>
            <w:r>
              <w:rPr>
                <w:rFonts w:hint="eastAsia" w:cs="宋体"/>
                <w:color w:val="000000" w:themeColor="text1"/>
                <w:spacing w:val="-4"/>
                <w:sz w:val="21"/>
                <w:szCs w:val="21"/>
                <w:highlight w:val="none"/>
                <w:lang w:eastAsia="zh-CN"/>
                <w14:textFill>
                  <w14:solidFill>
                    <w14:schemeClr w14:val="tx1"/>
                  </w14:solidFill>
                </w14:textFill>
              </w:rPr>
              <w:t>国内</w:t>
            </w:r>
            <w:r>
              <w:rPr>
                <w:rFonts w:hint="eastAsia" w:cs="宋体"/>
                <w:b w:val="0"/>
                <w:color w:val="000000" w:themeColor="text1"/>
                <w:spacing w:val="-4"/>
                <w:sz w:val="21"/>
                <w:szCs w:val="21"/>
                <w:highlight w:val="none"/>
                <w:lang w:eastAsia="zh-CN"/>
                <w14:textFill>
                  <w14:solidFill>
                    <w14:schemeClr w14:val="tx1"/>
                  </w14:solidFill>
                </w14:textFill>
              </w:rPr>
              <w:t>：</w:t>
            </w:r>
            <w:r>
              <w:rPr>
                <w:rFonts w:hint="eastAsia" w:cs="宋体"/>
                <w:b w:val="0"/>
                <w:color w:val="000000" w:themeColor="text1"/>
                <w:spacing w:val="-4"/>
                <w:sz w:val="21"/>
                <w:szCs w:val="21"/>
                <w:highlight w:val="none"/>
                <w14:textFill>
                  <w14:solidFill>
                    <w14:schemeClr w14:val="tx1"/>
                  </w14:solidFill>
                </w14:textFill>
              </w:rPr>
              <w:t>清华大学、北京大学毕业</w:t>
            </w:r>
            <w:r>
              <w:rPr>
                <w:rFonts w:hint="eastAsia" w:cs="宋体"/>
                <w:b w:val="0"/>
                <w:color w:val="000000" w:themeColor="text1"/>
                <w:spacing w:val="-4"/>
                <w:sz w:val="21"/>
                <w:szCs w:val="21"/>
                <w:highlight w:val="none"/>
                <w:lang w:eastAsia="zh-CN"/>
                <w14:textFill>
                  <w14:solidFill>
                    <w14:schemeClr w14:val="tx1"/>
                  </w14:solidFill>
                </w14:textFill>
              </w:rPr>
              <w:t>的，</w:t>
            </w:r>
            <w:r>
              <w:rPr>
                <w:rFonts w:hint="eastAsia" w:cs="宋体"/>
                <w:b w:val="0"/>
                <w:color w:val="000000" w:themeColor="text1"/>
                <w:spacing w:val="-4"/>
                <w:sz w:val="21"/>
                <w:szCs w:val="21"/>
                <w:highlight w:val="none"/>
                <w14:textFill>
                  <w14:solidFill>
                    <w14:schemeClr w14:val="tx1"/>
                  </w14:solidFill>
                </w14:textFill>
              </w:rPr>
              <w:t>得30分；其他A类34所高校，B类6所</w:t>
            </w:r>
            <w:r>
              <w:rPr>
                <w:rFonts w:hint="eastAsia" w:cs="宋体"/>
                <w:b w:val="0"/>
                <w:color w:val="000000" w:themeColor="text1"/>
                <w:spacing w:val="-4"/>
                <w:sz w:val="21"/>
                <w:szCs w:val="21"/>
                <w:highlight w:val="none"/>
                <w:lang w:val="en-US" w:eastAsia="zh-CN"/>
                <w14:textFill>
                  <w14:solidFill>
                    <w14:schemeClr w14:val="tx1"/>
                  </w14:solidFill>
                </w14:textFill>
              </w:rPr>
              <w:t>高校毕业的，得28分；</w:t>
            </w:r>
            <w:r>
              <w:rPr>
                <w:rFonts w:hint="eastAsia" w:cs="宋体"/>
                <w:b w:val="0"/>
                <w:color w:val="000000" w:themeColor="text1"/>
                <w:spacing w:val="-4"/>
                <w:sz w:val="21"/>
                <w:szCs w:val="21"/>
                <w:highlight w:val="none"/>
                <w14:textFill>
                  <w14:solidFill>
                    <w14:schemeClr w14:val="tx1"/>
                  </w14:solidFill>
                </w14:textFill>
              </w:rPr>
              <w:t>非A类、B类</w:t>
            </w:r>
            <w:r>
              <w:rPr>
                <w:rFonts w:hint="eastAsia" w:cs="宋体"/>
                <w:b w:val="0"/>
                <w:color w:val="000000" w:themeColor="text1"/>
                <w:spacing w:val="-4"/>
                <w:sz w:val="21"/>
                <w:szCs w:val="21"/>
                <w:highlight w:val="none"/>
                <w:lang w:val="en-US" w:eastAsia="zh-CN"/>
                <w14:textFill>
                  <w14:solidFill>
                    <w14:schemeClr w14:val="tx1"/>
                  </w14:solidFill>
                </w14:textFill>
              </w:rPr>
              <w:t>双</w:t>
            </w:r>
            <w:r>
              <w:rPr>
                <w:rFonts w:hint="eastAsia" w:cs="宋体"/>
                <w:b w:val="0"/>
                <w:color w:val="000000" w:themeColor="text1"/>
                <w:spacing w:val="-4"/>
                <w:sz w:val="21"/>
                <w:szCs w:val="21"/>
                <w:highlight w:val="none"/>
                <w14:textFill>
                  <w14:solidFill>
                    <w14:schemeClr w14:val="tx1"/>
                  </w14:solidFill>
                </w14:textFill>
              </w:rPr>
              <w:t>一流</w:t>
            </w:r>
            <w:r>
              <w:rPr>
                <w:rFonts w:hint="eastAsia" w:cs="宋体"/>
                <w:b w:val="0"/>
                <w:color w:val="000000" w:themeColor="text1"/>
                <w:spacing w:val="-4"/>
                <w:sz w:val="21"/>
                <w:szCs w:val="21"/>
                <w:highlight w:val="none"/>
                <w:lang w:val="en-US" w:eastAsia="zh-CN"/>
                <w14:textFill>
                  <w14:solidFill>
                    <w14:schemeClr w14:val="tx1"/>
                  </w14:solidFill>
                </w14:textFill>
              </w:rPr>
              <w:t>高校或医学类高校在医学类院校中</w:t>
            </w:r>
            <w:r>
              <w:rPr>
                <w:rFonts w:hint="eastAsia" w:cs="宋体"/>
                <w:b w:val="0"/>
                <w:color w:val="000000" w:themeColor="text1"/>
                <w:spacing w:val="-4"/>
                <w:sz w:val="21"/>
                <w:szCs w:val="21"/>
                <w:highlight w:val="none"/>
                <w14:textFill>
                  <w14:solidFill>
                    <w14:schemeClr w14:val="tx1"/>
                  </w14:solidFill>
                </w14:textFill>
              </w:rPr>
              <w:t>排名1-</w:t>
            </w:r>
            <w:r>
              <w:rPr>
                <w:rFonts w:hint="eastAsia" w:cs="宋体"/>
                <w:b w:val="0"/>
                <w:color w:val="000000" w:themeColor="text1"/>
                <w:spacing w:val="-4"/>
                <w:sz w:val="21"/>
                <w:szCs w:val="21"/>
                <w:highlight w:val="none"/>
                <w:lang w:val="en-US" w:eastAsia="zh-CN"/>
                <w14:textFill>
                  <w14:solidFill>
                    <w14:schemeClr w14:val="tx1"/>
                  </w14:solidFill>
                </w14:textFill>
              </w:rPr>
              <w:t>1</w:t>
            </w:r>
            <w:r>
              <w:rPr>
                <w:rFonts w:hint="eastAsia" w:cs="宋体"/>
                <w:b w:val="0"/>
                <w:color w:val="000000" w:themeColor="text1"/>
                <w:spacing w:val="-4"/>
                <w:sz w:val="21"/>
                <w:szCs w:val="21"/>
                <w:highlight w:val="none"/>
                <w14:textFill>
                  <w14:solidFill>
                    <w14:schemeClr w14:val="tx1"/>
                  </w14:solidFill>
                </w14:textFill>
              </w:rPr>
              <w:t>0名</w:t>
            </w:r>
            <w:r>
              <w:rPr>
                <w:rFonts w:hint="eastAsia" w:cs="宋体"/>
                <w:b w:val="0"/>
                <w:color w:val="000000" w:themeColor="text1"/>
                <w:spacing w:val="-4"/>
                <w:sz w:val="21"/>
                <w:szCs w:val="21"/>
                <w:highlight w:val="none"/>
                <w:lang w:eastAsia="zh-CN"/>
                <w14:textFill>
                  <w14:solidFill>
                    <w14:schemeClr w14:val="tx1"/>
                  </w14:solidFill>
                </w14:textFill>
              </w:rPr>
              <w:t>的，</w:t>
            </w:r>
            <w:r>
              <w:rPr>
                <w:rFonts w:hint="eastAsia" w:cs="宋体"/>
                <w:b w:val="0"/>
                <w:color w:val="000000" w:themeColor="text1"/>
                <w:spacing w:val="-4"/>
                <w:sz w:val="21"/>
                <w:szCs w:val="21"/>
                <w:highlight w:val="none"/>
                <w14:textFill>
                  <w14:solidFill>
                    <w14:schemeClr w14:val="tx1"/>
                  </w14:solidFill>
                </w14:textFill>
              </w:rPr>
              <w:t>得</w:t>
            </w:r>
            <w:r>
              <w:rPr>
                <w:rFonts w:hint="eastAsia" w:cs="宋体"/>
                <w:b w:val="0"/>
                <w:color w:val="000000" w:themeColor="text1"/>
                <w:spacing w:val="-4"/>
                <w:sz w:val="21"/>
                <w:szCs w:val="21"/>
                <w:highlight w:val="none"/>
                <w:lang w:val="en-US" w:eastAsia="zh-CN"/>
                <w14:textFill>
                  <w14:solidFill>
                    <w14:schemeClr w14:val="tx1"/>
                  </w14:solidFill>
                </w14:textFill>
              </w:rPr>
              <w:t>26</w:t>
            </w:r>
            <w:r>
              <w:rPr>
                <w:rFonts w:hint="eastAsia" w:cs="宋体"/>
                <w:b w:val="0"/>
                <w:color w:val="000000" w:themeColor="text1"/>
                <w:spacing w:val="-4"/>
                <w:sz w:val="21"/>
                <w:szCs w:val="21"/>
                <w:highlight w:val="none"/>
                <w14:textFill>
                  <w14:solidFill>
                    <w14:schemeClr w14:val="tx1"/>
                  </w14:solidFill>
                </w14:textFill>
              </w:rPr>
              <w:t>分；</w:t>
            </w:r>
            <w:r>
              <w:rPr>
                <w:rFonts w:hint="eastAsia" w:cs="宋体"/>
                <w:b w:val="0"/>
                <w:color w:val="000000" w:themeColor="text1"/>
                <w:spacing w:val="-4"/>
                <w:sz w:val="21"/>
                <w:szCs w:val="21"/>
                <w:highlight w:val="none"/>
                <w:lang w:val="en-US" w:eastAsia="zh-CN"/>
                <w14:textFill>
                  <w14:solidFill>
                    <w14:schemeClr w14:val="tx1"/>
                  </w14:solidFill>
                </w14:textFill>
              </w:rPr>
              <w:t>排名11-20名的，得24分：排名21-30名的，得22分；排名31-40名的，得20分；非双一流高校的，得18分。</w:t>
            </w:r>
          </w:p>
        </w:tc>
        <w:tc>
          <w:tcPr>
            <w:tcW w:w="640" w:type="dxa"/>
            <w:tcBorders>
              <w:top w:val="single" w:color="auto" w:sz="4" w:space="0"/>
              <w:left w:val="single" w:color="auto" w:sz="4" w:space="0"/>
              <w:bottom w:val="single" w:color="auto" w:sz="4" w:space="0"/>
              <w:right w:val="single" w:color="auto" w:sz="4" w:space="0"/>
            </w:tcBorders>
            <w:vAlign w:val="center"/>
          </w:tcPr>
          <w:p w14:paraId="1744C8DF">
            <w:pPr>
              <w:widowControl/>
              <w:spacing w:line="240" w:lineRule="exact"/>
              <w:jc w:val="center"/>
              <w:rPr>
                <w:rFonts w:cs="宋体"/>
                <w:b w:val="0"/>
                <w:color w:val="000000"/>
                <w:spacing w:val="0"/>
                <w:sz w:val="24"/>
                <w:szCs w:val="24"/>
                <w:highlight w:val="none"/>
              </w:rPr>
            </w:pPr>
            <w:r>
              <w:rPr>
                <w:rFonts w:hint="eastAsia" w:cs="宋体"/>
                <w:b w:val="0"/>
                <w:color w:val="000000"/>
                <w:spacing w:val="0"/>
                <w:sz w:val="24"/>
                <w:szCs w:val="24"/>
                <w:highlight w:val="none"/>
              </w:rPr>
              <w:t>30</w:t>
            </w:r>
          </w:p>
        </w:tc>
        <w:tc>
          <w:tcPr>
            <w:tcW w:w="980" w:type="dxa"/>
            <w:tcBorders>
              <w:top w:val="single" w:color="auto" w:sz="4" w:space="0"/>
              <w:left w:val="single" w:color="auto" w:sz="4" w:space="0"/>
              <w:bottom w:val="single" w:color="auto" w:sz="4" w:space="0"/>
              <w:right w:val="single" w:color="auto" w:sz="4" w:space="0"/>
            </w:tcBorders>
            <w:vAlign w:val="center"/>
          </w:tcPr>
          <w:p w14:paraId="53D2C547">
            <w:pPr>
              <w:widowControl/>
              <w:spacing w:line="240" w:lineRule="exact"/>
              <w:jc w:val="center"/>
              <w:rPr>
                <w:rFonts w:cs="宋体"/>
                <w:b w:val="0"/>
                <w:color w:val="FF0000"/>
                <w:spacing w:val="0"/>
                <w:sz w:val="21"/>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5AF3F2D0">
            <w:pPr>
              <w:widowControl/>
              <w:spacing w:line="240" w:lineRule="exact"/>
              <w:jc w:val="center"/>
              <w:rPr>
                <w:rFonts w:cs="宋体"/>
                <w:b w:val="0"/>
                <w:color w:val="FF0000"/>
                <w:spacing w:val="0"/>
                <w:sz w:val="21"/>
                <w:szCs w:val="21"/>
                <w:highlight w:val="none"/>
              </w:rPr>
            </w:pPr>
          </w:p>
        </w:tc>
        <w:tc>
          <w:tcPr>
            <w:tcW w:w="951" w:type="dxa"/>
            <w:tcBorders>
              <w:top w:val="single" w:color="auto" w:sz="4" w:space="0"/>
              <w:left w:val="single" w:color="auto" w:sz="4" w:space="0"/>
              <w:bottom w:val="single" w:color="auto" w:sz="4" w:space="0"/>
              <w:right w:val="single" w:color="auto" w:sz="4" w:space="0"/>
            </w:tcBorders>
          </w:tcPr>
          <w:p w14:paraId="200AB6BB">
            <w:pPr>
              <w:widowControl/>
              <w:spacing w:line="240" w:lineRule="exact"/>
              <w:jc w:val="center"/>
              <w:rPr>
                <w:rFonts w:cs="宋体"/>
                <w:b w:val="0"/>
                <w:color w:val="FF0000"/>
                <w:spacing w:val="0"/>
                <w:sz w:val="21"/>
                <w:szCs w:val="21"/>
                <w:highlight w:val="none"/>
              </w:rPr>
            </w:pPr>
          </w:p>
        </w:tc>
      </w:tr>
      <w:tr w14:paraId="529B8D42">
        <w:tblPrEx>
          <w:tblCellMar>
            <w:top w:w="0" w:type="dxa"/>
            <w:left w:w="108" w:type="dxa"/>
            <w:bottom w:w="0" w:type="dxa"/>
            <w:right w:w="108" w:type="dxa"/>
          </w:tblCellMar>
        </w:tblPrEx>
        <w:trPr>
          <w:trHeight w:val="3097" w:hRule="atLeast"/>
          <w:jc w:val="center"/>
        </w:trPr>
        <w:tc>
          <w:tcPr>
            <w:tcW w:w="714" w:type="dxa"/>
            <w:vMerge w:val="continue"/>
            <w:tcBorders>
              <w:left w:val="single" w:color="auto" w:sz="4" w:space="0"/>
              <w:right w:val="single" w:color="auto" w:sz="4" w:space="0"/>
            </w:tcBorders>
          </w:tcPr>
          <w:p w14:paraId="7585EF53">
            <w:pPr>
              <w:widowControl/>
              <w:spacing w:line="240" w:lineRule="exact"/>
              <w:jc w:val="center"/>
              <w:rPr>
                <w:rFonts w:ascii="楷体" w:hAnsi="楷体" w:eastAsia="楷体" w:cs="楷体"/>
                <w:b w:val="0"/>
                <w:color w:val="000000"/>
                <w:spacing w:val="0"/>
                <w:sz w:val="24"/>
                <w:szCs w:val="24"/>
                <w:highlight w:val="none"/>
              </w:rPr>
            </w:pPr>
          </w:p>
        </w:tc>
        <w:tc>
          <w:tcPr>
            <w:tcW w:w="714" w:type="dxa"/>
            <w:vMerge w:val="continue"/>
            <w:tcBorders>
              <w:top w:val="single" w:color="auto" w:sz="4" w:space="0"/>
              <w:left w:val="single" w:color="auto" w:sz="4" w:space="0"/>
              <w:bottom w:val="single" w:color="auto" w:sz="4" w:space="0"/>
              <w:right w:val="single" w:color="auto" w:sz="4" w:space="0"/>
            </w:tcBorders>
            <w:vAlign w:val="center"/>
          </w:tcPr>
          <w:p w14:paraId="066057B0">
            <w:pPr>
              <w:widowControl/>
              <w:spacing w:line="240" w:lineRule="exact"/>
              <w:jc w:val="center"/>
              <w:rPr>
                <w:rFonts w:ascii="楷体" w:hAnsi="楷体" w:eastAsia="楷体" w:cs="楷体"/>
                <w:b w:val="0"/>
                <w:color w:val="000000"/>
                <w:spacing w:val="0"/>
                <w:sz w:val="24"/>
                <w:szCs w:val="24"/>
                <w:highlight w:val="none"/>
              </w:rPr>
            </w:pPr>
          </w:p>
        </w:tc>
        <w:tc>
          <w:tcPr>
            <w:tcW w:w="5385" w:type="dxa"/>
            <w:tcBorders>
              <w:top w:val="single" w:color="auto" w:sz="4" w:space="0"/>
              <w:left w:val="single" w:color="auto" w:sz="4" w:space="0"/>
              <w:bottom w:val="single" w:color="auto" w:sz="4" w:space="0"/>
              <w:right w:val="single" w:color="auto" w:sz="4" w:space="0"/>
            </w:tcBorders>
            <w:vAlign w:val="center"/>
          </w:tcPr>
          <w:p w14:paraId="7C058F6E">
            <w:pPr>
              <w:widowControl/>
              <w:spacing w:line="240" w:lineRule="exact"/>
              <w:rPr>
                <w:rFonts w:cs="宋体"/>
                <w:b w:val="0"/>
                <w:color w:val="000000" w:themeColor="text1"/>
                <w:spacing w:val="-4"/>
                <w:sz w:val="21"/>
                <w:szCs w:val="21"/>
                <w:highlight w:val="none"/>
                <w14:textFill>
                  <w14:solidFill>
                    <w14:schemeClr w14:val="tx1"/>
                  </w14:solidFill>
                </w14:textFill>
              </w:rPr>
            </w:pPr>
            <w:r>
              <w:rPr>
                <w:rFonts w:hint="eastAsia" w:cs="宋体"/>
                <w:bCs/>
                <w:color w:val="000000" w:themeColor="text1"/>
                <w:spacing w:val="-4"/>
                <w:sz w:val="21"/>
                <w:szCs w:val="21"/>
                <w:highlight w:val="none"/>
                <w14:textFill>
                  <w14:solidFill>
                    <w14:schemeClr w14:val="tx1"/>
                  </w14:solidFill>
                </w14:textFill>
              </w:rPr>
              <w:t>研究生</w:t>
            </w:r>
            <w:r>
              <w:rPr>
                <w:rFonts w:hint="eastAsia" w:cs="宋体"/>
                <w:b w:val="0"/>
                <w:color w:val="000000" w:themeColor="text1"/>
                <w:spacing w:val="-4"/>
                <w:sz w:val="21"/>
                <w:szCs w:val="21"/>
                <w:highlight w:val="none"/>
                <w14:textFill>
                  <w14:solidFill>
                    <w14:schemeClr w14:val="tx1"/>
                  </w14:solidFill>
                </w14:textFill>
              </w:rPr>
              <w:t>：</w:t>
            </w:r>
          </w:p>
          <w:p w14:paraId="18C999C2">
            <w:pPr>
              <w:widowControl/>
              <w:spacing w:line="240" w:lineRule="exact"/>
              <w:rPr>
                <w:rFonts w:hint="default" w:cs="宋体"/>
                <w:b w:val="0"/>
                <w:color w:val="000000" w:themeColor="text1"/>
                <w:spacing w:val="-4"/>
                <w:sz w:val="21"/>
                <w:szCs w:val="21"/>
                <w:highlight w:val="none"/>
                <w:lang w:val="en-US" w:eastAsia="zh-CN"/>
                <w14:textFill>
                  <w14:solidFill>
                    <w14:schemeClr w14:val="tx1"/>
                  </w14:solidFill>
                </w14:textFill>
              </w:rPr>
            </w:pPr>
            <w:r>
              <w:rPr>
                <w:rFonts w:hint="eastAsia" w:cs="宋体"/>
                <w:color w:val="000000" w:themeColor="text1"/>
                <w:spacing w:val="-4"/>
                <w:sz w:val="21"/>
                <w:szCs w:val="21"/>
                <w:highlight w:val="none"/>
                <w14:textFill>
                  <w14:solidFill>
                    <w14:schemeClr w14:val="tx1"/>
                  </w14:solidFill>
                </w14:textFill>
              </w:rPr>
              <w:t>国 内</w:t>
            </w:r>
            <w:r>
              <w:rPr>
                <w:rFonts w:hint="eastAsia" w:cs="宋体"/>
                <w:b w:val="0"/>
                <w:color w:val="000000" w:themeColor="text1"/>
                <w:spacing w:val="-4"/>
                <w:sz w:val="21"/>
                <w:szCs w:val="21"/>
                <w:highlight w:val="none"/>
                <w14:textFill>
                  <w14:solidFill>
                    <w14:schemeClr w14:val="tx1"/>
                  </w14:solidFill>
                </w14:textFill>
              </w:rPr>
              <w:t>：清华大学、北京大学毕业</w:t>
            </w:r>
            <w:r>
              <w:rPr>
                <w:rFonts w:hint="eastAsia" w:cs="宋体"/>
                <w:b w:val="0"/>
                <w:color w:val="000000" w:themeColor="text1"/>
                <w:spacing w:val="-4"/>
                <w:sz w:val="21"/>
                <w:szCs w:val="21"/>
                <w:highlight w:val="none"/>
                <w:lang w:eastAsia="zh-CN"/>
                <w14:textFill>
                  <w14:solidFill>
                    <w14:schemeClr w14:val="tx1"/>
                  </w14:solidFill>
                </w14:textFill>
              </w:rPr>
              <w:t>的，</w:t>
            </w:r>
            <w:r>
              <w:rPr>
                <w:rFonts w:hint="eastAsia" w:cs="宋体"/>
                <w:b w:val="0"/>
                <w:color w:val="000000" w:themeColor="text1"/>
                <w:spacing w:val="-4"/>
                <w:sz w:val="21"/>
                <w:szCs w:val="21"/>
                <w:highlight w:val="none"/>
                <w14:textFill>
                  <w14:solidFill>
                    <w14:schemeClr w14:val="tx1"/>
                  </w14:solidFill>
                </w14:textFill>
              </w:rPr>
              <w:t>得35分；其他A类34所高校，B类6所</w:t>
            </w:r>
            <w:r>
              <w:rPr>
                <w:rFonts w:hint="eastAsia" w:cs="宋体"/>
                <w:b w:val="0"/>
                <w:color w:val="000000" w:themeColor="text1"/>
                <w:spacing w:val="-4"/>
                <w:sz w:val="21"/>
                <w:szCs w:val="21"/>
                <w:highlight w:val="none"/>
                <w:lang w:val="en-US" w:eastAsia="zh-CN"/>
                <w14:textFill>
                  <w14:solidFill>
                    <w14:schemeClr w14:val="tx1"/>
                  </w14:solidFill>
                </w14:textFill>
              </w:rPr>
              <w:t>高校毕业的，得33分；</w:t>
            </w:r>
            <w:r>
              <w:rPr>
                <w:rFonts w:hint="eastAsia" w:cs="宋体"/>
                <w:b w:val="0"/>
                <w:color w:val="000000" w:themeColor="text1"/>
                <w:spacing w:val="-4"/>
                <w:sz w:val="21"/>
                <w:szCs w:val="21"/>
                <w:highlight w:val="none"/>
                <w14:textFill>
                  <w14:solidFill>
                    <w14:schemeClr w14:val="tx1"/>
                  </w14:solidFill>
                </w14:textFill>
              </w:rPr>
              <w:t>非A类、B类</w:t>
            </w:r>
            <w:r>
              <w:rPr>
                <w:rFonts w:hint="eastAsia" w:cs="宋体"/>
                <w:b w:val="0"/>
                <w:color w:val="000000" w:themeColor="text1"/>
                <w:spacing w:val="-4"/>
                <w:sz w:val="21"/>
                <w:szCs w:val="21"/>
                <w:highlight w:val="none"/>
                <w:lang w:val="en-US" w:eastAsia="zh-CN"/>
                <w14:textFill>
                  <w14:solidFill>
                    <w14:schemeClr w14:val="tx1"/>
                  </w14:solidFill>
                </w14:textFill>
              </w:rPr>
              <w:t>双</w:t>
            </w:r>
            <w:r>
              <w:rPr>
                <w:rFonts w:hint="eastAsia" w:cs="宋体"/>
                <w:b w:val="0"/>
                <w:color w:val="000000" w:themeColor="text1"/>
                <w:spacing w:val="-4"/>
                <w:sz w:val="21"/>
                <w:szCs w:val="21"/>
                <w:highlight w:val="none"/>
                <w14:textFill>
                  <w14:solidFill>
                    <w14:schemeClr w14:val="tx1"/>
                  </w14:solidFill>
                </w14:textFill>
              </w:rPr>
              <w:t>一流</w:t>
            </w:r>
            <w:r>
              <w:rPr>
                <w:rFonts w:hint="eastAsia" w:cs="宋体"/>
                <w:b w:val="0"/>
                <w:color w:val="000000" w:themeColor="text1"/>
                <w:spacing w:val="-4"/>
                <w:sz w:val="21"/>
                <w:szCs w:val="21"/>
                <w:highlight w:val="none"/>
                <w:lang w:val="en-US" w:eastAsia="zh-CN"/>
                <w14:textFill>
                  <w14:solidFill>
                    <w14:schemeClr w14:val="tx1"/>
                  </w14:solidFill>
                </w14:textFill>
              </w:rPr>
              <w:t>高校或医学类高校在医学类院校中</w:t>
            </w:r>
            <w:r>
              <w:rPr>
                <w:rFonts w:hint="eastAsia" w:cs="宋体"/>
                <w:b w:val="0"/>
                <w:color w:val="000000" w:themeColor="text1"/>
                <w:spacing w:val="-4"/>
                <w:sz w:val="21"/>
                <w:szCs w:val="21"/>
                <w:highlight w:val="none"/>
                <w14:textFill>
                  <w14:solidFill>
                    <w14:schemeClr w14:val="tx1"/>
                  </w14:solidFill>
                </w14:textFill>
              </w:rPr>
              <w:t>排名1-</w:t>
            </w:r>
            <w:r>
              <w:rPr>
                <w:rFonts w:hint="eastAsia" w:cs="宋体"/>
                <w:b w:val="0"/>
                <w:color w:val="000000" w:themeColor="text1"/>
                <w:spacing w:val="-4"/>
                <w:sz w:val="21"/>
                <w:szCs w:val="21"/>
                <w:highlight w:val="none"/>
                <w:lang w:val="en-US" w:eastAsia="zh-CN"/>
                <w14:textFill>
                  <w14:solidFill>
                    <w14:schemeClr w14:val="tx1"/>
                  </w14:solidFill>
                </w14:textFill>
              </w:rPr>
              <w:t>1</w:t>
            </w:r>
            <w:r>
              <w:rPr>
                <w:rFonts w:hint="eastAsia" w:cs="宋体"/>
                <w:b w:val="0"/>
                <w:color w:val="000000" w:themeColor="text1"/>
                <w:spacing w:val="-4"/>
                <w:sz w:val="21"/>
                <w:szCs w:val="21"/>
                <w:highlight w:val="none"/>
                <w14:textFill>
                  <w14:solidFill>
                    <w14:schemeClr w14:val="tx1"/>
                  </w14:solidFill>
                </w14:textFill>
              </w:rPr>
              <w:t>0名</w:t>
            </w:r>
            <w:r>
              <w:rPr>
                <w:rFonts w:hint="eastAsia" w:cs="宋体"/>
                <w:b w:val="0"/>
                <w:color w:val="000000" w:themeColor="text1"/>
                <w:spacing w:val="-4"/>
                <w:sz w:val="21"/>
                <w:szCs w:val="21"/>
                <w:highlight w:val="none"/>
                <w:lang w:eastAsia="zh-CN"/>
                <w14:textFill>
                  <w14:solidFill>
                    <w14:schemeClr w14:val="tx1"/>
                  </w14:solidFill>
                </w14:textFill>
              </w:rPr>
              <w:t>的，</w:t>
            </w:r>
            <w:r>
              <w:rPr>
                <w:rFonts w:hint="eastAsia" w:cs="宋体"/>
                <w:b w:val="0"/>
                <w:color w:val="000000" w:themeColor="text1"/>
                <w:spacing w:val="-4"/>
                <w:sz w:val="21"/>
                <w:szCs w:val="21"/>
                <w:highlight w:val="none"/>
                <w14:textFill>
                  <w14:solidFill>
                    <w14:schemeClr w14:val="tx1"/>
                  </w14:solidFill>
                </w14:textFill>
              </w:rPr>
              <w:t>得</w:t>
            </w:r>
            <w:r>
              <w:rPr>
                <w:rFonts w:hint="eastAsia" w:cs="宋体"/>
                <w:b w:val="0"/>
                <w:color w:val="000000" w:themeColor="text1"/>
                <w:spacing w:val="-4"/>
                <w:sz w:val="21"/>
                <w:szCs w:val="21"/>
                <w:highlight w:val="none"/>
                <w:lang w:val="en-US" w:eastAsia="zh-CN"/>
                <w14:textFill>
                  <w14:solidFill>
                    <w14:schemeClr w14:val="tx1"/>
                  </w14:solidFill>
                </w14:textFill>
              </w:rPr>
              <w:t>31</w:t>
            </w:r>
            <w:r>
              <w:rPr>
                <w:rFonts w:hint="eastAsia" w:cs="宋体"/>
                <w:b w:val="0"/>
                <w:color w:val="000000" w:themeColor="text1"/>
                <w:spacing w:val="-4"/>
                <w:sz w:val="21"/>
                <w:szCs w:val="21"/>
                <w:highlight w:val="none"/>
                <w14:textFill>
                  <w14:solidFill>
                    <w14:schemeClr w14:val="tx1"/>
                  </w14:solidFill>
                </w14:textFill>
              </w:rPr>
              <w:t>分；</w:t>
            </w:r>
            <w:r>
              <w:rPr>
                <w:rFonts w:hint="eastAsia" w:cs="宋体"/>
                <w:b w:val="0"/>
                <w:color w:val="000000" w:themeColor="text1"/>
                <w:spacing w:val="-4"/>
                <w:sz w:val="21"/>
                <w:szCs w:val="21"/>
                <w:highlight w:val="none"/>
                <w:lang w:val="en-US" w:eastAsia="zh-CN"/>
                <w14:textFill>
                  <w14:solidFill>
                    <w14:schemeClr w14:val="tx1"/>
                  </w14:solidFill>
                </w14:textFill>
              </w:rPr>
              <w:t>排名11-20名的，得29分；排名21-30名的，得27分；排名31-40名的，得25分；非双一流高校的，得23分。</w:t>
            </w:r>
          </w:p>
          <w:p w14:paraId="3263B30C">
            <w:pPr>
              <w:widowControl/>
              <w:spacing w:line="240" w:lineRule="exact"/>
              <w:rPr>
                <w:rFonts w:hint="eastAsia" w:eastAsia="宋体" w:cs="宋体"/>
                <w:b w:val="0"/>
                <w:color w:val="000000" w:themeColor="text1"/>
                <w:spacing w:val="-4"/>
                <w:sz w:val="21"/>
                <w:szCs w:val="21"/>
                <w:highlight w:val="none"/>
                <w:lang w:val="en-US" w:eastAsia="zh-CN"/>
                <w14:textFill>
                  <w14:solidFill>
                    <w14:schemeClr w14:val="tx1"/>
                  </w14:solidFill>
                </w14:textFill>
              </w:rPr>
            </w:pPr>
            <w:r>
              <w:rPr>
                <w:rFonts w:hint="eastAsia" w:cs="宋体"/>
                <w:color w:val="000000" w:themeColor="text1"/>
                <w:spacing w:val="-4"/>
                <w:sz w:val="21"/>
                <w:szCs w:val="21"/>
                <w:highlight w:val="none"/>
                <w14:textFill>
                  <w14:solidFill>
                    <w14:schemeClr w14:val="tx1"/>
                  </w14:solidFill>
                </w14:textFill>
              </w:rPr>
              <w:t>海 外</w:t>
            </w:r>
            <w:r>
              <w:rPr>
                <w:rFonts w:hint="eastAsia" w:cs="宋体"/>
                <w:b w:val="0"/>
                <w:color w:val="000000" w:themeColor="text1"/>
                <w:spacing w:val="-4"/>
                <w:sz w:val="21"/>
                <w:szCs w:val="21"/>
                <w:highlight w:val="none"/>
                <w14:textFill>
                  <w14:solidFill>
                    <w14:schemeClr w14:val="tx1"/>
                  </w14:solidFill>
                </w14:textFill>
              </w:rPr>
              <w:t>：</w:t>
            </w:r>
          </w:p>
          <w:p w14:paraId="4536AEE2">
            <w:pPr>
              <w:widowControl/>
              <w:spacing w:line="240" w:lineRule="exact"/>
              <w:rPr>
                <w:rFonts w:cs="宋体"/>
                <w:b w:val="0"/>
                <w:color w:val="000000" w:themeColor="text1"/>
                <w:spacing w:val="-4"/>
                <w:sz w:val="21"/>
                <w:szCs w:val="21"/>
                <w:highlight w:val="none"/>
                <w14:textFill>
                  <w14:solidFill>
                    <w14:schemeClr w14:val="tx1"/>
                  </w14:solidFill>
                </w14:textFill>
              </w:rPr>
            </w:pPr>
            <w:r>
              <w:rPr>
                <w:rFonts w:hint="eastAsia" w:cs="宋体"/>
                <w:b w:val="0"/>
                <w:color w:val="000000" w:themeColor="text1"/>
                <w:spacing w:val="-4"/>
                <w:sz w:val="21"/>
                <w:szCs w:val="21"/>
                <w:highlight w:val="none"/>
                <w14:textFill>
                  <w14:solidFill>
                    <w14:schemeClr w14:val="tx1"/>
                  </w14:solidFill>
                </w14:textFill>
              </w:rPr>
              <w:t>世界综合排名高校1-10名的，得35分；世界综合排名高校11-50名的，得33分；世界综合排名高校51-100名的得31分；世界综合排名高校101-200名的，得29分；世界综合排名高校201-300名的，得27分。</w:t>
            </w:r>
          </w:p>
        </w:tc>
        <w:tc>
          <w:tcPr>
            <w:tcW w:w="640" w:type="dxa"/>
            <w:tcBorders>
              <w:top w:val="single" w:color="auto" w:sz="4" w:space="0"/>
              <w:left w:val="single" w:color="auto" w:sz="4" w:space="0"/>
              <w:bottom w:val="single" w:color="auto" w:sz="4" w:space="0"/>
              <w:right w:val="single" w:color="auto" w:sz="4" w:space="0"/>
            </w:tcBorders>
            <w:vAlign w:val="center"/>
          </w:tcPr>
          <w:p w14:paraId="110EEBA3">
            <w:pPr>
              <w:widowControl/>
              <w:spacing w:line="240" w:lineRule="exact"/>
              <w:jc w:val="center"/>
              <w:rPr>
                <w:rFonts w:cs="宋体"/>
                <w:b w:val="0"/>
                <w:color w:val="000000"/>
                <w:spacing w:val="0"/>
                <w:sz w:val="24"/>
                <w:szCs w:val="24"/>
                <w:highlight w:val="none"/>
              </w:rPr>
            </w:pPr>
            <w:r>
              <w:rPr>
                <w:rFonts w:hint="eastAsia" w:cs="宋体"/>
                <w:b w:val="0"/>
                <w:color w:val="000000"/>
                <w:spacing w:val="0"/>
                <w:sz w:val="24"/>
                <w:szCs w:val="24"/>
                <w:highlight w:val="none"/>
              </w:rPr>
              <w:t>35</w:t>
            </w:r>
          </w:p>
        </w:tc>
        <w:tc>
          <w:tcPr>
            <w:tcW w:w="980" w:type="dxa"/>
            <w:tcBorders>
              <w:top w:val="single" w:color="auto" w:sz="4" w:space="0"/>
              <w:left w:val="single" w:color="auto" w:sz="4" w:space="0"/>
              <w:bottom w:val="single" w:color="auto" w:sz="4" w:space="0"/>
              <w:right w:val="single" w:color="auto" w:sz="4" w:space="0"/>
            </w:tcBorders>
            <w:vAlign w:val="center"/>
          </w:tcPr>
          <w:p w14:paraId="75706385">
            <w:pPr>
              <w:widowControl/>
              <w:spacing w:line="240" w:lineRule="exact"/>
              <w:jc w:val="center"/>
              <w:rPr>
                <w:rFonts w:cs="宋体"/>
                <w:b w:val="0"/>
                <w:color w:val="FF0000"/>
                <w:spacing w:val="0"/>
                <w:sz w:val="21"/>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68701623">
            <w:pPr>
              <w:widowControl/>
              <w:spacing w:line="240" w:lineRule="exact"/>
              <w:jc w:val="center"/>
              <w:rPr>
                <w:rFonts w:cs="宋体"/>
                <w:b w:val="0"/>
                <w:color w:val="FF0000"/>
                <w:spacing w:val="0"/>
                <w:sz w:val="21"/>
                <w:szCs w:val="21"/>
                <w:highlight w:val="none"/>
              </w:rPr>
            </w:pPr>
          </w:p>
        </w:tc>
        <w:tc>
          <w:tcPr>
            <w:tcW w:w="951" w:type="dxa"/>
            <w:tcBorders>
              <w:top w:val="single" w:color="auto" w:sz="4" w:space="0"/>
              <w:left w:val="single" w:color="auto" w:sz="4" w:space="0"/>
              <w:bottom w:val="single" w:color="auto" w:sz="4" w:space="0"/>
              <w:right w:val="single" w:color="auto" w:sz="4" w:space="0"/>
            </w:tcBorders>
          </w:tcPr>
          <w:p w14:paraId="281D4C81">
            <w:pPr>
              <w:widowControl/>
              <w:spacing w:line="240" w:lineRule="exact"/>
              <w:jc w:val="center"/>
              <w:rPr>
                <w:rFonts w:cs="宋体"/>
                <w:b w:val="0"/>
                <w:color w:val="FF0000"/>
                <w:spacing w:val="0"/>
                <w:sz w:val="21"/>
                <w:szCs w:val="21"/>
                <w:highlight w:val="none"/>
              </w:rPr>
            </w:pPr>
          </w:p>
        </w:tc>
      </w:tr>
      <w:tr w14:paraId="532FBC5C">
        <w:tblPrEx>
          <w:tblCellMar>
            <w:top w:w="0" w:type="dxa"/>
            <w:left w:w="108" w:type="dxa"/>
            <w:bottom w:w="0" w:type="dxa"/>
            <w:right w:w="108" w:type="dxa"/>
          </w:tblCellMar>
        </w:tblPrEx>
        <w:trPr>
          <w:trHeight w:val="3364" w:hRule="atLeast"/>
          <w:jc w:val="center"/>
        </w:trPr>
        <w:tc>
          <w:tcPr>
            <w:tcW w:w="714" w:type="dxa"/>
            <w:vMerge w:val="continue"/>
            <w:tcBorders>
              <w:left w:val="single" w:color="auto" w:sz="4" w:space="0"/>
              <w:right w:val="single" w:color="auto" w:sz="4" w:space="0"/>
            </w:tcBorders>
          </w:tcPr>
          <w:p w14:paraId="730BEAF0">
            <w:pPr>
              <w:widowControl/>
              <w:spacing w:line="240" w:lineRule="exact"/>
              <w:jc w:val="center"/>
              <w:rPr>
                <w:rFonts w:ascii="楷体" w:hAnsi="楷体" w:eastAsia="楷体" w:cs="楷体"/>
                <w:b w:val="0"/>
                <w:color w:val="000000"/>
                <w:spacing w:val="0"/>
                <w:sz w:val="24"/>
                <w:szCs w:val="24"/>
              </w:rPr>
            </w:pPr>
          </w:p>
        </w:tc>
        <w:tc>
          <w:tcPr>
            <w:tcW w:w="714" w:type="dxa"/>
            <w:tcBorders>
              <w:top w:val="single" w:color="auto" w:sz="4" w:space="0"/>
              <w:left w:val="single" w:color="auto" w:sz="4" w:space="0"/>
              <w:bottom w:val="single" w:color="auto" w:sz="4" w:space="0"/>
              <w:right w:val="single" w:color="auto" w:sz="4" w:space="0"/>
            </w:tcBorders>
            <w:vAlign w:val="center"/>
          </w:tcPr>
          <w:p w14:paraId="0BA6D180">
            <w:pPr>
              <w:widowControl/>
              <w:spacing w:line="240" w:lineRule="exact"/>
              <w:jc w:val="center"/>
              <w:rPr>
                <w:rFonts w:ascii="楷体" w:hAnsi="楷体" w:eastAsia="楷体" w:cs="楷体"/>
                <w:b w:val="0"/>
                <w:color w:val="000000"/>
                <w:spacing w:val="0"/>
                <w:sz w:val="24"/>
                <w:szCs w:val="24"/>
              </w:rPr>
            </w:pPr>
            <w:r>
              <w:rPr>
                <w:rFonts w:hint="eastAsia" w:ascii="楷体" w:hAnsi="楷体" w:eastAsia="楷体" w:cs="楷体"/>
                <w:b w:val="0"/>
                <w:color w:val="000000"/>
                <w:spacing w:val="0"/>
                <w:sz w:val="24"/>
                <w:szCs w:val="24"/>
              </w:rPr>
              <w:t>科研成果</w:t>
            </w:r>
          </w:p>
        </w:tc>
        <w:tc>
          <w:tcPr>
            <w:tcW w:w="5385" w:type="dxa"/>
            <w:tcBorders>
              <w:top w:val="single" w:color="auto" w:sz="4" w:space="0"/>
              <w:left w:val="single" w:color="auto" w:sz="4" w:space="0"/>
              <w:bottom w:val="single" w:color="auto" w:sz="4" w:space="0"/>
              <w:right w:val="single" w:color="auto" w:sz="4" w:space="0"/>
            </w:tcBorders>
            <w:vAlign w:val="center"/>
          </w:tcPr>
          <w:p w14:paraId="05C675ED">
            <w:pPr>
              <w:widowControl/>
              <w:spacing w:line="240" w:lineRule="exact"/>
              <w:rPr>
                <w:rFonts w:cs="宋体"/>
                <w:b w:val="0"/>
                <w:spacing w:val="-4"/>
                <w:sz w:val="21"/>
                <w:szCs w:val="21"/>
              </w:rPr>
            </w:pPr>
            <w:r>
              <w:rPr>
                <w:rFonts w:hint="eastAsia" w:cs="宋体"/>
                <w:b w:val="0"/>
                <w:spacing w:val="-4"/>
                <w:sz w:val="21"/>
                <w:szCs w:val="21"/>
              </w:rPr>
              <w:t>1. SCI、SSCI一区检索的本学科学术期刊论文，每篇得5分（第一作者，不含并列第一作者）；</w:t>
            </w:r>
          </w:p>
          <w:p w14:paraId="065CCCFA">
            <w:pPr>
              <w:widowControl/>
              <w:spacing w:line="240" w:lineRule="exact"/>
              <w:rPr>
                <w:rFonts w:cs="宋体"/>
                <w:b w:val="0"/>
                <w:spacing w:val="-4"/>
                <w:sz w:val="21"/>
                <w:szCs w:val="21"/>
              </w:rPr>
            </w:pPr>
            <w:r>
              <w:rPr>
                <w:rFonts w:hint="eastAsia" w:cs="宋体"/>
                <w:b w:val="0"/>
                <w:spacing w:val="-4"/>
                <w:sz w:val="21"/>
                <w:szCs w:val="21"/>
              </w:rPr>
              <w:t>2. SCI、SSCI一区检索（并列第一作者）或SCI、SSCI二区检索的本学科学术期刊论文（第一作者，不含并列第一作者），每篇得4分；</w:t>
            </w:r>
          </w:p>
          <w:p w14:paraId="2510A66B">
            <w:pPr>
              <w:widowControl/>
              <w:spacing w:line="240" w:lineRule="exact"/>
              <w:rPr>
                <w:rFonts w:cs="宋体"/>
                <w:b w:val="0"/>
                <w:spacing w:val="-4"/>
                <w:sz w:val="21"/>
                <w:szCs w:val="21"/>
              </w:rPr>
            </w:pPr>
            <w:r>
              <w:rPr>
                <w:rFonts w:hint="eastAsia" w:cs="宋体"/>
                <w:b w:val="0"/>
                <w:spacing w:val="-4"/>
                <w:sz w:val="21"/>
                <w:szCs w:val="21"/>
              </w:rPr>
              <w:t>3. SCI、SSCI二区检索（并列第一作者）或SCI、SSCI三区检索的本学科学术期刊论文（第一作者，不含并列第一作者），每篇得3分；</w:t>
            </w:r>
          </w:p>
          <w:p w14:paraId="0CB2CB08">
            <w:pPr>
              <w:widowControl/>
              <w:spacing w:line="240" w:lineRule="exact"/>
              <w:rPr>
                <w:rFonts w:cs="宋体"/>
                <w:bCs/>
                <w:spacing w:val="-4"/>
                <w:sz w:val="21"/>
                <w:szCs w:val="21"/>
              </w:rPr>
            </w:pPr>
            <w:r>
              <w:rPr>
                <w:rFonts w:hint="eastAsia" w:cs="宋体"/>
                <w:b w:val="0"/>
                <w:spacing w:val="-4"/>
                <w:sz w:val="21"/>
                <w:szCs w:val="21"/>
              </w:rPr>
              <w:t>4. SCI、SSCI三区检索（并列第一作者）或SCI、SSCI四区检索（第一作者，不含并列第一作者）或EI检索的本学科学术期刊论文（第一作者，不含并列第一作者），每篇得2分。</w:t>
            </w:r>
            <w:r>
              <w:rPr>
                <w:rFonts w:hint="eastAsia" w:cs="宋体"/>
                <w:bCs/>
                <w:spacing w:val="-4"/>
                <w:sz w:val="21"/>
                <w:szCs w:val="21"/>
              </w:rPr>
              <w:t>SCI、SSCI分区以中科院年度分区为准。</w:t>
            </w:r>
          </w:p>
          <w:p w14:paraId="4D23FD39">
            <w:pPr>
              <w:widowControl/>
              <w:spacing w:line="240" w:lineRule="exact"/>
              <w:rPr>
                <w:rFonts w:hint="eastAsia" w:cs="宋体"/>
                <w:b w:val="0"/>
                <w:spacing w:val="-4"/>
                <w:sz w:val="21"/>
                <w:szCs w:val="21"/>
                <w:lang w:eastAsia="zh-CN"/>
              </w:rPr>
            </w:pPr>
            <w:r>
              <w:rPr>
                <w:rFonts w:hint="eastAsia" w:cs="宋体"/>
                <w:b w:val="0"/>
                <w:spacing w:val="-4"/>
                <w:sz w:val="21"/>
                <w:szCs w:val="21"/>
              </w:rPr>
              <w:t>5.作为第一发明人发表发明专利，每项得5分。</w:t>
            </w:r>
            <w:r>
              <w:rPr>
                <w:rFonts w:hint="eastAsia" w:cs="宋体"/>
                <w:b w:val="0"/>
                <w:spacing w:val="-4"/>
                <w:sz w:val="21"/>
                <w:szCs w:val="21"/>
                <w:lang w:eastAsia="zh-CN"/>
              </w:rPr>
              <w:t>（</w:t>
            </w:r>
            <w:r>
              <w:rPr>
                <w:rFonts w:hint="eastAsia" w:cs="宋体"/>
                <w:b w:val="0"/>
                <w:spacing w:val="-4"/>
                <w:sz w:val="21"/>
                <w:szCs w:val="21"/>
                <w:lang w:val="en-US" w:eastAsia="zh-CN"/>
              </w:rPr>
              <w:t>国内专利</w:t>
            </w:r>
            <w:r>
              <w:rPr>
                <w:rFonts w:hint="eastAsia" w:cs="宋体"/>
                <w:b w:val="0"/>
                <w:spacing w:val="-4"/>
                <w:sz w:val="21"/>
                <w:szCs w:val="21"/>
                <w:lang w:eastAsia="zh-CN"/>
              </w:rPr>
              <w:t>）</w:t>
            </w:r>
          </w:p>
          <w:p w14:paraId="65DA6DD1">
            <w:pPr>
              <w:widowControl/>
              <w:spacing w:line="240" w:lineRule="exact"/>
              <w:rPr>
                <w:rFonts w:cs="宋体"/>
                <w:b w:val="0"/>
                <w:spacing w:val="-4"/>
                <w:sz w:val="21"/>
                <w:szCs w:val="21"/>
              </w:rPr>
            </w:pPr>
            <w:r>
              <w:rPr>
                <w:rFonts w:hint="eastAsia" w:cs="宋体"/>
                <w:b w:val="0"/>
                <w:spacing w:val="-4"/>
                <w:sz w:val="21"/>
                <w:szCs w:val="21"/>
              </w:rPr>
              <w:t>各项累加不超过20分。</w:t>
            </w:r>
          </w:p>
        </w:tc>
        <w:tc>
          <w:tcPr>
            <w:tcW w:w="640" w:type="dxa"/>
            <w:tcBorders>
              <w:top w:val="single" w:color="auto" w:sz="4" w:space="0"/>
              <w:left w:val="single" w:color="auto" w:sz="4" w:space="0"/>
              <w:bottom w:val="single" w:color="auto" w:sz="4" w:space="0"/>
              <w:right w:val="single" w:color="auto" w:sz="4" w:space="0"/>
            </w:tcBorders>
            <w:vAlign w:val="center"/>
          </w:tcPr>
          <w:p w14:paraId="336EEF50">
            <w:pPr>
              <w:widowControl/>
              <w:spacing w:line="240" w:lineRule="exact"/>
              <w:jc w:val="center"/>
              <w:rPr>
                <w:rFonts w:cs="宋体"/>
                <w:b w:val="0"/>
                <w:spacing w:val="0"/>
                <w:sz w:val="24"/>
                <w:szCs w:val="24"/>
              </w:rPr>
            </w:pPr>
            <w:r>
              <w:rPr>
                <w:rFonts w:hint="eastAsia" w:cs="宋体"/>
                <w:b w:val="0"/>
                <w:spacing w:val="0"/>
                <w:sz w:val="24"/>
                <w:szCs w:val="24"/>
              </w:rPr>
              <w:t>20</w:t>
            </w:r>
          </w:p>
        </w:tc>
        <w:tc>
          <w:tcPr>
            <w:tcW w:w="980" w:type="dxa"/>
            <w:tcBorders>
              <w:top w:val="single" w:color="auto" w:sz="4" w:space="0"/>
              <w:left w:val="single" w:color="auto" w:sz="4" w:space="0"/>
              <w:bottom w:val="single" w:color="auto" w:sz="4" w:space="0"/>
              <w:right w:val="single" w:color="auto" w:sz="4" w:space="0"/>
            </w:tcBorders>
            <w:vAlign w:val="center"/>
          </w:tcPr>
          <w:p w14:paraId="601F8C46">
            <w:pPr>
              <w:widowControl/>
              <w:spacing w:line="240" w:lineRule="exact"/>
              <w:jc w:val="center"/>
              <w:rPr>
                <w:rFonts w:cs="宋体"/>
                <w:b w:val="0"/>
                <w:color w:val="FF0000"/>
                <w:spacing w:val="0"/>
                <w:sz w:val="21"/>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0A0D87F6">
            <w:pPr>
              <w:widowControl/>
              <w:spacing w:line="240" w:lineRule="exact"/>
              <w:jc w:val="center"/>
              <w:rPr>
                <w:rFonts w:cs="宋体"/>
                <w:b w:val="0"/>
                <w:color w:val="FF0000"/>
                <w:spacing w:val="0"/>
                <w:sz w:val="21"/>
                <w:szCs w:val="21"/>
              </w:rPr>
            </w:pPr>
          </w:p>
        </w:tc>
        <w:tc>
          <w:tcPr>
            <w:tcW w:w="951" w:type="dxa"/>
            <w:tcBorders>
              <w:top w:val="single" w:color="auto" w:sz="4" w:space="0"/>
              <w:left w:val="single" w:color="auto" w:sz="4" w:space="0"/>
              <w:bottom w:val="single" w:color="auto" w:sz="4" w:space="0"/>
              <w:right w:val="single" w:color="auto" w:sz="4" w:space="0"/>
            </w:tcBorders>
          </w:tcPr>
          <w:p w14:paraId="49CF3DA3">
            <w:pPr>
              <w:widowControl/>
              <w:spacing w:line="240" w:lineRule="exact"/>
              <w:jc w:val="center"/>
              <w:rPr>
                <w:rFonts w:cs="宋体"/>
                <w:b w:val="0"/>
                <w:color w:val="FF0000"/>
                <w:spacing w:val="0"/>
                <w:sz w:val="21"/>
                <w:szCs w:val="21"/>
              </w:rPr>
            </w:pPr>
          </w:p>
        </w:tc>
      </w:tr>
      <w:tr w14:paraId="33041BE3">
        <w:tblPrEx>
          <w:tblCellMar>
            <w:top w:w="0" w:type="dxa"/>
            <w:left w:w="108" w:type="dxa"/>
            <w:bottom w:w="0" w:type="dxa"/>
            <w:right w:w="108" w:type="dxa"/>
          </w:tblCellMar>
        </w:tblPrEx>
        <w:trPr>
          <w:trHeight w:val="803" w:hRule="atLeast"/>
          <w:jc w:val="center"/>
        </w:trPr>
        <w:tc>
          <w:tcPr>
            <w:tcW w:w="714" w:type="dxa"/>
            <w:vMerge w:val="continue"/>
            <w:tcBorders>
              <w:left w:val="single" w:color="auto" w:sz="4" w:space="0"/>
              <w:right w:val="single" w:color="auto" w:sz="4" w:space="0"/>
            </w:tcBorders>
          </w:tcPr>
          <w:p w14:paraId="5347CA55">
            <w:pPr>
              <w:widowControl/>
              <w:spacing w:line="240" w:lineRule="exact"/>
              <w:jc w:val="center"/>
              <w:rPr>
                <w:rFonts w:ascii="楷体" w:hAnsi="楷体" w:eastAsia="楷体" w:cs="楷体"/>
                <w:b w:val="0"/>
                <w:color w:val="000000"/>
                <w:spacing w:val="0"/>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14:paraId="00D5F9FF">
            <w:pPr>
              <w:widowControl/>
              <w:spacing w:line="240" w:lineRule="exact"/>
              <w:jc w:val="center"/>
              <w:rPr>
                <w:rFonts w:ascii="楷体" w:hAnsi="楷体" w:eastAsia="楷体" w:cs="楷体"/>
                <w:b w:val="0"/>
                <w:color w:val="000000"/>
                <w:spacing w:val="0"/>
                <w:sz w:val="24"/>
                <w:szCs w:val="24"/>
              </w:rPr>
            </w:pPr>
            <w:r>
              <w:rPr>
                <w:rFonts w:hint="eastAsia" w:ascii="楷体" w:hAnsi="楷体" w:eastAsia="楷体" w:cs="楷体"/>
                <w:b w:val="0"/>
                <w:color w:val="000000"/>
                <w:spacing w:val="0"/>
                <w:sz w:val="22"/>
                <w:szCs w:val="22"/>
              </w:rPr>
              <w:t>专业技术职称</w:t>
            </w:r>
          </w:p>
        </w:tc>
        <w:tc>
          <w:tcPr>
            <w:tcW w:w="5385" w:type="dxa"/>
            <w:tcBorders>
              <w:top w:val="single" w:color="auto" w:sz="4" w:space="0"/>
              <w:left w:val="single" w:color="auto" w:sz="4" w:space="0"/>
              <w:bottom w:val="single" w:color="auto" w:sz="4" w:space="0"/>
              <w:right w:val="single" w:color="auto" w:sz="4" w:space="0"/>
            </w:tcBorders>
            <w:vAlign w:val="center"/>
          </w:tcPr>
          <w:p w14:paraId="7A897FBB">
            <w:pPr>
              <w:widowControl/>
              <w:tabs>
                <w:tab w:val="right" w:pos="4869"/>
              </w:tabs>
              <w:spacing w:line="240" w:lineRule="exact"/>
              <w:jc w:val="left"/>
              <w:rPr>
                <w:rFonts w:cs="宋体"/>
                <w:b w:val="0"/>
                <w:color w:val="000000"/>
                <w:spacing w:val="0"/>
                <w:sz w:val="21"/>
                <w:szCs w:val="21"/>
              </w:rPr>
            </w:pPr>
            <w:r>
              <w:rPr>
                <w:rFonts w:hint="eastAsia" w:cs="宋体"/>
                <w:b w:val="0"/>
                <w:color w:val="000000"/>
                <w:spacing w:val="0"/>
                <w:sz w:val="21"/>
                <w:szCs w:val="21"/>
              </w:rPr>
              <w:t>正高级职称得10分，副高级得8分，中级得6分，初级得4分。按所取得最高级职称计算，不累加计算。</w:t>
            </w:r>
          </w:p>
        </w:tc>
        <w:tc>
          <w:tcPr>
            <w:tcW w:w="640" w:type="dxa"/>
            <w:tcBorders>
              <w:top w:val="single" w:color="auto" w:sz="4" w:space="0"/>
              <w:left w:val="single" w:color="auto" w:sz="4" w:space="0"/>
              <w:bottom w:val="single" w:color="auto" w:sz="4" w:space="0"/>
              <w:right w:val="single" w:color="auto" w:sz="4" w:space="0"/>
            </w:tcBorders>
            <w:vAlign w:val="center"/>
          </w:tcPr>
          <w:p w14:paraId="631EB3A0">
            <w:pPr>
              <w:widowControl/>
              <w:jc w:val="center"/>
              <w:rPr>
                <w:rFonts w:cs="宋体"/>
                <w:b w:val="0"/>
                <w:color w:val="000000"/>
                <w:spacing w:val="0"/>
                <w:sz w:val="24"/>
                <w:szCs w:val="24"/>
              </w:rPr>
            </w:pPr>
            <w:r>
              <w:rPr>
                <w:rFonts w:hint="eastAsia" w:cs="宋体"/>
                <w:b w:val="0"/>
                <w:color w:val="000000"/>
                <w:spacing w:val="0"/>
                <w:sz w:val="24"/>
                <w:szCs w:val="24"/>
              </w:rPr>
              <w:t>10　</w:t>
            </w:r>
          </w:p>
        </w:tc>
        <w:tc>
          <w:tcPr>
            <w:tcW w:w="980" w:type="dxa"/>
            <w:tcBorders>
              <w:top w:val="single" w:color="auto" w:sz="4" w:space="0"/>
              <w:left w:val="single" w:color="auto" w:sz="4" w:space="0"/>
              <w:bottom w:val="single" w:color="auto" w:sz="4" w:space="0"/>
              <w:right w:val="single" w:color="auto" w:sz="4" w:space="0"/>
            </w:tcBorders>
            <w:vAlign w:val="center"/>
          </w:tcPr>
          <w:p w14:paraId="362788DE">
            <w:pPr>
              <w:widowControl/>
              <w:spacing w:line="240" w:lineRule="exact"/>
              <w:jc w:val="center"/>
              <w:rPr>
                <w:rFonts w:cs="宋体"/>
                <w:b w:val="0"/>
                <w:color w:val="FF0000"/>
                <w:spacing w:val="0"/>
                <w:sz w:val="21"/>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2ED84288">
            <w:pPr>
              <w:widowControl/>
              <w:spacing w:line="240" w:lineRule="exact"/>
              <w:jc w:val="center"/>
              <w:rPr>
                <w:rFonts w:cs="宋体"/>
                <w:b w:val="0"/>
                <w:color w:val="FF0000"/>
                <w:spacing w:val="0"/>
                <w:sz w:val="21"/>
                <w:szCs w:val="21"/>
              </w:rPr>
            </w:pPr>
          </w:p>
        </w:tc>
        <w:tc>
          <w:tcPr>
            <w:tcW w:w="951" w:type="dxa"/>
            <w:tcBorders>
              <w:top w:val="single" w:color="auto" w:sz="4" w:space="0"/>
              <w:left w:val="single" w:color="auto" w:sz="4" w:space="0"/>
              <w:bottom w:val="single" w:color="auto" w:sz="4" w:space="0"/>
              <w:right w:val="single" w:color="auto" w:sz="4" w:space="0"/>
            </w:tcBorders>
          </w:tcPr>
          <w:p w14:paraId="1949B60F">
            <w:pPr>
              <w:widowControl/>
              <w:spacing w:line="240" w:lineRule="exact"/>
              <w:jc w:val="center"/>
              <w:rPr>
                <w:rFonts w:cs="宋体"/>
                <w:b w:val="0"/>
                <w:color w:val="FF0000"/>
                <w:spacing w:val="0"/>
                <w:sz w:val="21"/>
                <w:szCs w:val="21"/>
              </w:rPr>
            </w:pPr>
          </w:p>
        </w:tc>
      </w:tr>
      <w:tr w14:paraId="57BE10FA">
        <w:tblPrEx>
          <w:tblCellMar>
            <w:top w:w="0" w:type="dxa"/>
            <w:left w:w="108" w:type="dxa"/>
            <w:bottom w:w="0" w:type="dxa"/>
            <w:right w:w="108" w:type="dxa"/>
          </w:tblCellMar>
        </w:tblPrEx>
        <w:trPr>
          <w:trHeight w:val="778" w:hRule="atLeast"/>
          <w:jc w:val="center"/>
        </w:trPr>
        <w:tc>
          <w:tcPr>
            <w:tcW w:w="714" w:type="dxa"/>
            <w:vMerge w:val="continue"/>
            <w:tcBorders>
              <w:left w:val="single" w:color="auto" w:sz="4" w:space="0"/>
              <w:bottom w:val="single" w:color="auto" w:sz="4" w:space="0"/>
              <w:right w:val="single" w:color="auto" w:sz="4" w:space="0"/>
            </w:tcBorders>
          </w:tcPr>
          <w:p w14:paraId="20385185">
            <w:pPr>
              <w:widowControl/>
              <w:spacing w:line="240" w:lineRule="exact"/>
              <w:jc w:val="center"/>
              <w:rPr>
                <w:rFonts w:ascii="楷体" w:hAnsi="楷体" w:eastAsia="楷体" w:cs="楷体"/>
                <w:b w:val="0"/>
                <w:color w:val="000000"/>
                <w:spacing w:val="0"/>
                <w:sz w:val="24"/>
                <w:szCs w:val="24"/>
              </w:rPr>
            </w:pPr>
          </w:p>
        </w:tc>
        <w:tc>
          <w:tcPr>
            <w:tcW w:w="714" w:type="dxa"/>
            <w:tcBorders>
              <w:top w:val="single" w:color="auto" w:sz="4" w:space="0"/>
              <w:left w:val="single" w:color="auto" w:sz="4" w:space="0"/>
              <w:bottom w:val="single" w:color="auto" w:sz="4" w:space="0"/>
              <w:right w:val="single" w:color="auto" w:sz="4" w:space="0"/>
            </w:tcBorders>
            <w:vAlign w:val="center"/>
          </w:tcPr>
          <w:p w14:paraId="4816B530">
            <w:pPr>
              <w:widowControl/>
              <w:spacing w:line="240" w:lineRule="exact"/>
              <w:jc w:val="center"/>
              <w:rPr>
                <w:rFonts w:ascii="楷体" w:hAnsi="楷体" w:eastAsia="楷体" w:cs="楷体"/>
                <w:b w:val="0"/>
                <w:color w:val="000000"/>
                <w:spacing w:val="0"/>
                <w:sz w:val="24"/>
                <w:szCs w:val="24"/>
              </w:rPr>
            </w:pPr>
            <w:r>
              <w:rPr>
                <w:rFonts w:hint="eastAsia" w:ascii="楷体" w:hAnsi="楷体" w:eastAsia="楷体" w:cs="楷体"/>
                <w:b w:val="0"/>
                <w:color w:val="000000"/>
                <w:spacing w:val="0"/>
                <w:sz w:val="24"/>
                <w:szCs w:val="24"/>
              </w:rPr>
              <w:t>获得奖项</w:t>
            </w:r>
          </w:p>
        </w:tc>
        <w:tc>
          <w:tcPr>
            <w:tcW w:w="5385" w:type="dxa"/>
            <w:tcBorders>
              <w:top w:val="single" w:color="auto" w:sz="4" w:space="0"/>
              <w:left w:val="single" w:color="auto" w:sz="4" w:space="0"/>
              <w:bottom w:val="single" w:color="auto" w:sz="4" w:space="0"/>
              <w:right w:val="single" w:color="auto" w:sz="4" w:space="0"/>
            </w:tcBorders>
            <w:vAlign w:val="center"/>
          </w:tcPr>
          <w:p w14:paraId="4F2A2668">
            <w:pPr>
              <w:widowControl/>
              <w:spacing w:line="240" w:lineRule="exact"/>
              <w:rPr>
                <w:rFonts w:cs="宋体"/>
                <w:b w:val="0"/>
                <w:color w:val="000000"/>
                <w:spacing w:val="-4"/>
                <w:sz w:val="21"/>
                <w:szCs w:val="21"/>
              </w:rPr>
            </w:pPr>
            <w:r>
              <w:rPr>
                <w:rFonts w:hint="eastAsia" w:cs="宋体"/>
                <w:b w:val="0"/>
                <w:color w:val="000000"/>
                <w:spacing w:val="-4"/>
                <w:sz w:val="21"/>
                <w:szCs w:val="21"/>
              </w:rPr>
              <w:t>获得国家级荣誉者每项得5分；获得国家部委和省级荣誉者每项得3分；获得市级荣誉者每项得1分。各项累加不超过5分。</w:t>
            </w:r>
          </w:p>
        </w:tc>
        <w:tc>
          <w:tcPr>
            <w:tcW w:w="640" w:type="dxa"/>
            <w:tcBorders>
              <w:top w:val="single" w:color="auto" w:sz="4" w:space="0"/>
              <w:left w:val="single" w:color="auto" w:sz="4" w:space="0"/>
              <w:bottom w:val="single" w:color="auto" w:sz="4" w:space="0"/>
              <w:right w:val="single" w:color="auto" w:sz="4" w:space="0"/>
            </w:tcBorders>
            <w:vAlign w:val="center"/>
          </w:tcPr>
          <w:p w14:paraId="508E8AE1">
            <w:pPr>
              <w:widowControl/>
              <w:jc w:val="center"/>
              <w:rPr>
                <w:rFonts w:cs="宋体"/>
                <w:b w:val="0"/>
                <w:color w:val="000000"/>
                <w:spacing w:val="0"/>
                <w:sz w:val="24"/>
                <w:szCs w:val="24"/>
              </w:rPr>
            </w:pPr>
            <w:r>
              <w:rPr>
                <w:rFonts w:hint="eastAsia" w:cs="宋体"/>
                <w:b w:val="0"/>
                <w:color w:val="000000"/>
                <w:spacing w:val="0"/>
                <w:sz w:val="24"/>
                <w:szCs w:val="24"/>
              </w:rPr>
              <w:t>5</w:t>
            </w:r>
          </w:p>
        </w:tc>
        <w:tc>
          <w:tcPr>
            <w:tcW w:w="980" w:type="dxa"/>
            <w:tcBorders>
              <w:top w:val="single" w:color="auto" w:sz="4" w:space="0"/>
              <w:left w:val="single" w:color="auto" w:sz="4" w:space="0"/>
              <w:bottom w:val="single" w:color="auto" w:sz="4" w:space="0"/>
              <w:right w:val="single" w:color="auto" w:sz="4" w:space="0"/>
            </w:tcBorders>
            <w:vAlign w:val="center"/>
          </w:tcPr>
          <w:p w14:paraId="3C270DDB">
            <w:pPr>
              <w:widowControl/>
              <w:spacing w:line="240" w:lineRule="exact"/>
              <w:jc w:val="center"/>
              <w:rPr>
                <w:rFonts w:cs="宋体"/>
                <w:b w:val="0"/>
                <w:color w:val="FF0000"/>
                <w:spacing w:val="0"/>
                <w:sz w:val="21"/>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12CB9B4D">
            <w:pPr>
              <w:widowControl/>
              <w:spacing w:line="240" w:lineRule="exact"/>
              <w:jc w:val="center"/>
              <w:rPr>
                <w:rFonts w:cs="宋体"/>
                <w:b w:val="0"/>
                <w:color w:val="FF0000"/>
                <w:spacing w:val="0"/>
                <w:sz w:val="21"/>
                <w:szCs w:val="21"/>
              </w:rPr>
            </w:pPr>
          </w:p>
        </w:tc>
        <w:tc>
          <w:tcPr>
            <w:tcW w:w="951" w:type="dxa"/>
            <w:tcBorders>
              <w:top w:val="single" w:color="auto" w:sz="4" w:space="0"/>
              <w:left w:val="single" w:color="auto" w:sz="4" w:space="0"/>
              <w:bottom w:val="single" w:color="auto" w:sz="4" w:space="0"/>
              <w:right w:val="single" w:color="auto" w:sz="4" w:space="0"/>
            </w:tcBorders>
          </w:tcPr>
          <w:p w14:paraId="28603198">
            <w:pPr>
              <w:widowControl/>
              <w:spacing w:line="240" w:lineRule="exact"/>
              <w:jc w:val="center"/>
              <w:rPr>
                <w:rFonts w:cs="宋体"/>
                <w:b w:val="0"/>
                <w:color w:val="FF0000"/>
                <w:spacing w:val="0"/>
                <w:sz w:val="21"/>
                <w:szCs w:val="21"/>
              </w:rPr>
            </w:pPr>
          </w:p>
        </w:tc>
      </w:tr>
    </w:tbl>
    <w:p w14:paraId="3B29B938">
      <w:pPr>
        <w:spacing w:line="240" w:lineRule="exact"/>
        <w:ind w:left="950" w:hanging="950" w:hangingChars="500"/>
        <w:rPr>
          <w:rFonts w:hint="default" w:ascii="Times New Roman" w:hAnsi="Times New Roman" w:eastAsia="仿宋" w:cs="Times New Roman"/>
          <w:b w:val="0"/>
          <w:sz w:val="21"/>
          <w:szCs w:val="21"/>
        </w:rPr>
      </w:pPr>
      <w:r>
        <w:rPr>
          <w:rFonts w:hint="default" w:ascii="Times New Roman" w:hAnsi="Times New Roman" w:eastAsia="仿宋" w:cs="Times New Roman"/>
          <w:b w:val="0"/>
          <w:sz w:val="21"/>
          <w:szCs w:val="21"/>
        </w:rPr>
        <w:t xml:space="preserve">   </w:t>
      </w:r>
      <w:r>
        <w:rPr>
          <w:rFonts w:hint="default" w:ascii="Times New Roman" w:hAnsi="Times New Roman" w:eastAsia="仿宋" w:cs="Times New Roman"/>
          <w:bCs/>
          <w:sz w:val="21"/>
          <w:szCs w:val="21"/>
        </w:rPr>
        <w:t>备  注</w:t>
      </w:r>
      <w:r>
        <w:rPr>
          <w:rFonts w:hint="default" w:ascii="Times New Roman" w:hAnsi="Times New Roman" w:eastAsia="仿宋" w:cs="Times New Roman"/>
          <w:b w:val="0"/>
          <w:sz w:val="21"/>
          <w:szCs w:val="21"/>
        </w:rPr>
        <w:t xml:space="preserve"> : 1. SCI、SSCI一区检索超过2篇（含）、二区检索超过3篇（含）、三区检索超过5篇（含）者，</w:t>
      </w:r>
      <w:bookmarkStart w:id="0" w:name="_GoBack"/>
      <w:bookmarkEnd w:id="0"/>
      <w:r>
        <w:rPr>
          <w:rFonts w:hint="default" w:ascii="Times New Roman" w:hAnsi="Times New Roman" w:eastAsia="仿宋" w:cs="Times New Roman"/>
          <w:b w:val="0"/>
          <w:sz w:val="21"/>
          <w:szCs w:val="21"/>
        </w:rPr>
        <w:t>人才评价按满分计算（100分），须为第一作者，不含并列第一作者。</w:t>
      </w:r>
    </w:p>
    <w:p w14:paraId="751887CD">
      <w:pPr>
        <w:spacing w:line="240" w:lineRule="exact"/>
        <w:ind w:firstLine="950" w:firstLineChars="500"/>
        <w:rPr>
          <w:rFonts w:hint="default" w:ascii="Times New Roman" w:hAnsi="Times New Roman" w:eastAsia="仿宋" w:cs="Times New Roman"/>
          <w:b w:val="0"/>
          <w:sz w:val="21"/>
          <w:szCs w:val="21"/>
        </w:rPr>
      </w:pPr>
      <w:r>
        <w:rPr>
          <w:rFonts w:hint="default" w:ascii="Times New Roman" w:hAnsi="Times New Roman" w:eastAsia="仿宋" w:cs="Times New Roman"/>
          <w:b w:val="0"/>
          <w:sz w:val="21"/>
          <w:szCs w:val="21"/>
        </w:rPr>
        <w:t>2.获得国家级荣誉3项（含）以上者，人才评价按满分计算（100分）。</w:t>
      </w:r>
    </w:p>
    <w:p w14:paraId="1461BA13">
      <w:pPr>
        <w:spacing w:line="240" w:lineRule="exact"/>
        <w:rPr>
          <w:rFonts w:hint="default" w:ascii="Times New Roman" w:hAnsi="Times New Roman" w:eastAsia="仿宋" w:cs="Times New Roman"/>
          <w:b w:val="0"/>
          <w:sz w:val="21"/>
          <w:szCs w:val="21"/>
        </w:rPr>
      </w:pPr>
      <w:r>
        <w:rPr>
          <w:rFonts w:hint="default" w:ascii="Times New Roman" w:hAnsi="Times New Roman" w:eastAsia="仿宋" w:cs="Times New Roman"/>
          <w:b w:val="0"/>
          <w:sz w:val="21"/>
          <w:szCs w:val="21"/>
        </w:rPr>
        <w:t xml:space="preserve">           3.符合条件的博士研究生报名直接进入体检、考察环节。</w:t>
      </w:r>
    </w:p>
    <w:p w14:paraId="256C7234">
      <w:pPr>
        <w:spacing w:line="240" w:lineRule="exact"/>
        <w:rPr>
          <w:rFonts w:hint="default" w:ascii="Times New Roman" w:hAnsi="Times New Roman" w:eastAsia="仿宋" w:cs="Times New Roman"/>
          <w:b/>
          <w:bCs/>
          <w:sz w:val="21"/>
          <w:szCs w:val="21"/>
          <w:lang w:val="en-US" w:eastAsia="zh-CN"/>
        </w:rPr>
      </w:pPr>
      <w:r>
        <w:rPr>
          <w:rFonts w:hint="default" w:ascii="Times New Roman" w:hAnsi="Times New Roman" w:eastAsia="仿宋" w:cs="Times New Roman"/>
          <w:b w:val="0"/>
          <w:sz w:val="21"/>
          <w:szCs w:val="21"/>
        </w:rPr>
        <w:t xml:space="preserve">           4.国内医药类高校排名以202</w:t>
      </w:r>
      <w:r>
        <w:rPr>
          <w:rFonts w:hint="default" w:ascii="Times New Roman" w:hAnsi="Times New Roman" w:eastAsia="仿宋" w:cs="Times New Roman"/>
          <w:b w:val="0"/>
          <w:sz w:val="21"/>
          <w:szCs w:val="21"/>
          <w:lang w:val="en-US" w:eastAsia="zh-CN"/>
        </w:rPr>
        <w:t>5</w:t>
      </w:r>
      <w:r>
        <w:rPr>
          <w:rFonts w:hint="default" w:ascii="Times New Roman" w:hAnsi="Times New Roman" w:eastAsia="仿宋" w:cs="Times New Roman"/>
          <w:b w:val="0"/>
          <w:sz w:val="21"/>
          <w:szCs w:val="21"/>
        </w:rPr>
        <w:t>软科中国医药类大学排行榜为准。</w:t>
      </w:r>
    </w:p>
    <w:p w14:paraId="6D0C6A09">
      <w:pPr>
        <w:spacing w:line="600" w:lineRule="exact"/>
        <w:ind w:firstLine="954" w:firstLineChars="500"/>
        <w:jc w:val="left"/>
        <w:rPr>
          <w:rFonts w:hint="default" w:ascii="Times New Roman" w:hAnsi="Times New Roman" w:eastAsia="仿宋" w:cs="Times New Roman"/>
          <w:b/>
          <w:bCs/>
          <w:sz w:val="21"/>
          <w:szCs w:val="21"/>
          <w:lang w:val="en-US" w:eastAsia="zh-CN"/>
        </w:rPr>
      </w:pPr>
      <w:r>
        <w:rPr>
          <w:rFonts w:hint="default" w:ascii="Times New Roman" w:hAnsi="Times New Roman" w:eastAsia="仿宋" w:cs="Times New Roman"/>
          <w:b/>
          <w:bCs/>
          <w:sz w:val="21"/>
          <w:szCs w:val="21"/>
          <w:lang w:val="en-US" w:eastAsia="zh-CN"/>
        </w:rPr>
        <w:t>本人签字（捺印）：                    年   月   日                 复核人签字：</w:t>
      </w:r>
    </w:p>
    <w:p w14:paraId="76C0CC1D">
      <w:pPr>
        <w:spacing w:line="240" w:lineRule="exact"/>
        <w:ind w:firstLine="190" w:firstLineChars="100"/>
        <w:rPr>
          <w:rFonts w:hint="eastAsia" w:ascii="Times New Roman" w:hAnsi="Times New Roman" w:eastAsia="仿宋"/>
          <w:b w:val="0"/>
          <w:sz w:val="21"/>
          <w:szCs w:val="21"/>
        </w:rPr>
      </w:pPr>
    </w:p>
    <w:p w14:paraId="037F577B">
      <w:pPr>
        <w:spacing w:line="600" w:lineRule="exact"/>
        <w:jc w:val="center"/>
        <w:rPr>
          <w:rFonts w:hint="eastAsia" w:ascii="方正小标宋简体" w:hAnsi="方正小标宋简体" w:eastAsia="方正小标宋简体" w:cs="方正小标宋简体"/>
          <w:b w:val="0"/>
          <w:color w:val="auto"/>
          <w:spacing w:val="0"/>
          <w:kern w:val="2"/>
          <w:sz w:val="44"/>
          <w:szCs w:val="44"/>
          <w:lang w:val="en-US" w:eastAsia="zh-CN"/>
        </w:rPr>
      </w:pPr>
    </w:p>
    <w:p w14:paraId="0522901C">
      <w:pPr>
        <w:spacing w:line="600" w:lineRule="exact"/>
        <w:jc w:val="center"/>
        <w:rPr>
          <w:rFonts w:hint="eastAsia" w:ascii="方正小标宋简体" w:hAnsi="方正小标宋简体" w:eastAsia="方正小标宋简体" w:cs="方正小标宋简体"/>
          <w:b w:val="0"/>
          <w:color w:val="auto"/>
          <w:spacing w:val="0"/>
          <w:kern w:val="2"/>
          <w:sz w:val="44"/>
          <w:szCs w:val="44"/>
        </w:rPr>
      </w:pPr>
      <w:r>
        <w:rPr>
          <w:rFonts w:hint="eastAsia" w:ascii="方正小标宋简体" w:hAnsi="方正小标宋简体" w:eastAsia="方正小标宋简体" w:cs="方正小标宋简体"/>
          <w:b w:val="0"/>
          <w:color w:val="auto"/>
          <w:spacing w:val="0"/>
          <w:kern w:val="2"/>
          <w:sz w:val="44"/>
          <w:szCs w:val="44"/>
          <w:lang w:val="en-US" w:eastAsia="zh-CN"/>
        </w:rPr>
        <w:t>库伦旗2026</w:t>
      </w:r>
      <w:r>
        <w:rPr>
          <w:rFonts w:hint="eastAsia" w:ascii="方正小标宋简体" w:hAnsi="方正小标宋简体" w:eastAsia="方正小标宋简体" w:cs="方正小标宋简体"/>
          <w:b w:val="0"/>
          <w:color w:val="auto"/>
          <w:spacing w:val="0"/>
          <w:kern w:val="2"/>
          <w:sz w:val="44"/>
          <w:szCs w:val="44"/>
        </w:rPr>
        <w:t>年第</w:t>
      </w:r>
      <w:r>
        <w:rPr>
          <w:rFonts w:hint="eastAsia" w:ascii="方正小标宋简体" w:hAnsi="方正小标宋简体" w:eastAsia="方正小标宋简体" w:cs="方正小标宋简体"/>
          <w:b w:val="0"/>
          <w:color w:val="auto"/>
          <w:spacing w:val="0"/>
          <w:kern w:val="2"/>
          <w:sz w:val="44"/>
          <w:szCs w:val="44"/>
          <w:highlight w:val="none"/>
          <w:lang w:val="en-US" w:eastAsia="zh-CN"/>
        </w:rPr>
        <w:t>二</w:t>
      </w:r>
      <w:r>
        <w:rPr>
          <w:rFonts w:hint="eastAsia" w:ascii="方正小标宋简体" w:hAnsi="方正小标宋简体" w:eastAsia="方正小标宋简体" w:cs="方正小标宋简体"/>
          <w:b w:val="0"/>
          <w:color w:val="auto"/>
          <w:spacing w:val="0"/>
          <w:kern w:val="2"/>
          <w:sz w:val="44"/>
          <w:szCs w:val="44"/>
        </w:rPr>
        <w:t>批次人才引进</w:t>
      </w:r>
    </w:p>
    <w:p w14:paraId="4F0D5139">
      <w:pPr>
        <w:spacing w:line="600" w:lineRule="exact"/>
        <w:jc w:val="center"/>
        <w:rPr>
          <w:rFonts w:hint="eastAsia" w:ascii="方正小标宋简体" w:hAnsi="方正小标宋简体" w:eastAsia="方正小标宋简体" w:cs="方正小标宋简体"/>
          <w:b w:val="0"/>
          <w:color w:val="auto"/>
          <w:spacing w:val="0"/>
          <w:kern w:val="2"/>
          <w:sz w:val="44"/>
          <w:szCs w:val="44"/>
        </w:rPr>
      </w:pPr>
      <w:r>
        <w:rPr>
          <w:rFonts w:hint="eastAsia" w:ascii="方正小标宋简体" w:hAnsi="方正小标宋简体" w:eastAsia="方正小标宋简体" w:cs="方正小标宋简体"/>
          <w:b w:val="0"/>
          <w:color w:val="auto"/>
          <w:spacing w:val="0"/>
          <w:kern w:val="2"/>
          <w:sz w:val="44"/>
          <w:szCs w:val="44"/>
        </w:rPr>
        <w:t>人才评价表填报说明（</w:t>
      </w:r>
      <w:r>
        <w:rPr>
          <w:rFonts w:hint="eastAsia" w:ascii="方正小标宋简体" w:hAnsi="方正小标宋简体" w:eastAsia="方正小标宋简体" w:cs="方正小标宋简体"/>
          <w:b w:val="0"/>
          <w:color w:val="auto"/>
          <w:spacing w:val="0"/>
          <w:kern w:val="2"/>
          <w:sz w:val="44"/>
          <w:szCs w:val="44"/>
          <w:lang w:val="en-US" w:eastAsia="zh-CN"/>
        </w:rPr>
        <w:t>医疗类</w:t>
      </w:r>
      <w:r>
        <w:rPr>
          <w:rFonts w:hint="eastAsia" w:ascii="方正小标宋简体" w:hAnsi="方正小标宋简体" w:eastAsia="方正小标宋简体" w:cs="方正小标宋简体"/>
          <w:b w:val="0"/>
          <w:color w:val="auto"/>
          <w:spacing w:val="0"/>
          <w:kern w:val="2"/>
          <w:sz w:val="44"/>
          <w:szCs w:val="44"/>
        </w:rPr>
        <w:t>岗位）</w:t>
      </w:r>
    </w:p>
    <w:p w14:paraId="32983898">
      <w:pPr>
        <w:spacing w:line="600" w:lineRule="exact"/>
        <w:jc w:val="center"/>
        <w:rPr>
          <w:rFonts w:ascii="方正公文小标宋" w:hAnsi="方正公文小标宋" w:eastAsia="方正公文小标宋" w:cs="方正公文小标宋"/>
          <w:b w:val="0"/>
          <w:color w:val="auto"/>
          <w:spacing w:val="0"/>
          <w:kern w:val="2"/>
          <w:sz w:val="44"/>
          <w:szCs w:val="44"/>
        </w:rPr>
      </w:pPr>
    </w:p>
    <w:p w14:paraId="2C22EB26">
      <w:pPr>
        <w:spacing w:line="560" w:lineRule="exact"/>
        <w:ind w:firstLine="640" w:firstLineChars="200"/>
        <w:rPr>
          <w:rFonts w:ascii="黑体" w:hAnsi="黑体" w:eastAsia="黑体" w:cs="黑体"/>
          <w:b w:val="0"/>
          <w:color w:val="auto"/>
          <w:spacing w:val="0"/>
          <w:kern w:val="2"/>
          <w:sz w:val="32"/>
          <w:szCs w:val="32"/>
        </w:rPr>
      </w:pPr>
      <w:r>
        <w:rPr>
          <w:rFonts w:ascii="黑体" w:hAnsi="黑体" w:eastAsia="黑体" w:cs="黑体"/>
          <w:b w:val="0"/>
          <w:color w:val="auto"/>
          <w:spacing w:val="0"/>
          <w:kern w:val="2"/>
          <w:sz w:val="32"/>
          <w:szCs w:val="32"/>
        </w:rPr>
        <w:t>一、专业层次方面</w:t>
      </w:r>
    </w:p>
    <w:p w14:paraId="53AF551D">
      <w:pPr>
        <w:spacing w:line="560" w:lineRule="exact"/>
        <w:ind w:firstLine="640" w:firstLineChars="200"/>
        <w:rPr>
          <w:rFonts w:ascii="Times New Roman" w:hAnsi="Times New Roman" w:eastAsia="仿宋" w:cs="Times New Roman"/>
          <w:b w:val="0"/>
          <w:color w:val="auto"/>
          <w:spacing w:val="0"/>
          <w:kern w:val="2"/>
          <w:sz w:val="32"/>
          <w:szCs w:val="32"/>
        </w:rPr>
      </w:pPr>
      <w:r>
        <w:rPr>
          <w:rFonts w:ascii="Times New Roman" w:hAnsi="Times New Roman" w:eastAsia="仿宋" w:cs="Times New Roman"/>
          <w:b w:val="0"/>
          <w:color w:val="auto"/>
          <w:spacing w:val="0"/>
          <w:kern w:val="2"/>
          <w:sz w:val="32"/>
          <w:szCs w:val="32"/>
        </w:rPr>
        <w:t>（一）A类、B类高校和一流学科目录，以《教育部、财政部、国家发展改革委关于公布世界一流大学和一流学科建设高校及建设学科名单的通知》（教研函〔2017〕2号）《教育部、财政部、国家发展改革委关于公布第二轮“双一流”建设高校及建设学科名单的通知》（教研函〔2022〕1号）为准。</w:t>
      </w:r>
      <w:r>
        <w:rPr>
          <w:rFonts w:hint="eastAsia" w:ascii="Times New Roman" w:hAnsi="Times New Roman" w:eastAsia="仿宋" w:cs="Times New Roman"/>
          <w:b w:val="0"/>
          <w:color w:val="auto"/>
          <w:spacing w:val="0"/>
          <w:kern w:val="2"/>
          <w:sz w:val="32"/>
          <w:szCs w:val="32"/>
        </w:rPr>
        <w:t>国内医药类高校排名以</w:t>
      </w:r>
      <w:r>
        <w:rPr>
          <w:rFonts w:hint="eastAsia" w:ascii="Times New Roman" w:hAnsi="Times New Roman" w:eastAsia="仿宋" w:cs="Times New Roman"/>
          <w:b w:val="0"/>
          <w:color w:val="auto"/>
          <w:spacing w:val="0"/>
          <w:kern w:val="2"/>
          <w:sz w:val="32"/>
          <w:szCs w:val="32"/>
          <w:highlight w:val="none"/>
        </w:rPr>
        <w:t>202</w:t>
      </w:r>
      <w:r>
        <w:rPr>
          <w:rFonts w:hint="eastAsia" w:ascii="Times New Roman" w:hAnsi="Times New Roman" w:eastAsia="仿宋" w:cs="Times New Roman"/>
          <w:b w:val="0"/>
          <w:color w:val="auto"/>
          <w:spacing w:val="0"/>
          <w:kern w:val="2"/>
          <w:sz w:val="32"/>
          <w:szCs w:val="32"/>
          <w:highlight w:val="none"/>
          <w:lang w:val="en-US" w:eastAsia="zh-CN"/>
        </w:rPr>
        <w:t>5</w:t>
      </w:r>
      <w:r>
        <w:rPr>
          <w:rFonts w:hint="eastAsia" w:ascii="Times New Roman" w:hAnsi="Times New Roman" w:eastAsia="仿宋" w:cs="Times New Roman"/>
          <w:b w:val="0"/>
          <w:color w:val="auto"/>
          <w:spacing w:val="0"/>
          <w:kern w:val="2"/>
          <w:sz w:val="32"/>
          <w:szCs w:val="32"/>
        </w:rPr>
        <w:t>软科中国医药类大学排行榜为准。</w:t>
      </w:r>
    </w:p>
    <w:p w14:paraId="4782120F">
      <w:pPr>
        <w:spacing w:line="560" w:lineRule="exact"/>
        <w:ind w:firstLine="640" w:firstLineChars="200"/>
        <w:rPr>
          <w:rFonts w:ascii="Times New Roman" w:hAnsi="Times New Roman" w:eastAsia="仿宋" w:cs="Times New Roman"/>
          <w:b w:val="0"/>
          <w:color w:val="auto"/>
          <w:spacing w:val="0"/>
          <w:kern w:val="2"/>
          <w:sz w:val="32"/>
          <w:szCs w:val="32"/>
        </w:rPr>
      </w:pPr>
      <w:r>
        <w:rPr>
          <w:rFonts w:ascii="Times New Roman" w:hAnsi="Times New Roman" w:eastAsia="仿宋" w:cs="Times New Roman"/>
          <w:b w:val="0"/>
          <w:color w:val="auto"/>
          <w:spacing w:val="0"/>
          <w:kern w:val="2"/>
          <w:sz w:val="32"/>
          <w:szCs w:val="32"/>
        </w:rPr>
        <w:t>（二）在一流学科认定上，所学专业须属该学科内专业。</w:t>
      </w:r>
    </w:p>
    <w:p w14:paraId="5356CBE7">
      <w:pPr>
        <w:spacing w:line="560" w:lineRule="exact"/>
        <w:ind w:firstLine="640" w:firstLineChars="200"/>
        <w:rPr>
          <w:rFonts w:ascii="Times New Roman" w:hAnsi="Times New Roman" w:eastAsia="仿宋" w:cs="Times New Roman"/>
          <w:b w:val="0"/>
          <w:spacing w:val="0"/>
          <w:kern w:val="2"/>
          <w:sz w:val="32"/>
          <w:szCs w:val="32"/>
        </w:rPr>
      </w:pPr>
      <w:r>
        <w:rPr>
          <w:rFonts w:ascii="Times New Roman" w:hAnsi="Times New Roman" w:eastAsia="仿宋" w:cs="Times New Roman"/>
          <w:b w:val="0"/>
          <w:color w:val="auto"/>
          <w:spacing w:val="0"/>
          <w:kern w:val="2"/>
          <w:sz w:val="32"/>
          <w:szCs w:val="32"/>
        </w:rPr>
        <w:t>（三）海外学历学校排名以202</w:t>
      </w:r>
      <w:r>
        <w:rPr>
          <w:rFonts w:hint="eastAsia" w:ascii="Times New Roman" w:hAnsi="Times New Roman" w:eastAsia="仿宋" w:cs="Times New Roman"/>
          <w:b w:val="0"/>
          <w:color w:val="auto"/>
          <w:spacing w:val="0"/>
          <w:kern w:val="2"/>
          <w:sz w:val="32"/>
          <w:szCs w:val="32"/>
          <w:lang w:val="en-US" w:eastAsia="zh-CN"/>
        </w:rPr>
        <w:t>4</w:t>
      </w:r>
      <w:r>
        <w:rPr>
          <w:rFonts w:hint="eastAsia" w:ascii="Times New Roman" w:hAnsi="Times New Roman" w:eastAsia="仿宋" w:cs="Times New Roman"/>
          <w:b w:val="0"/>
          <w:color w:val="auto"/>
          <w:spacing w:val="0"/>
          <w:kern w:val="2"/>
          <w:sz w:val="32"/>
          <w:szCs w:val="32"/>
        </w:rPr>
        <w:t>年</w:t>
      </w:r>
      <w:r>
        <w:rPr>
          <w:rFonts w:ascii="Times New Roman" w:hAnsi="Times New Roman" w:eastAsia="仿宋" w:cs="Times New Roman"/>
          <w:b w:val="0"/>
          <w:color w:val="auto"/>
          <w:spacing w:val="0"/>
          <w:kern w:val="2"/>
          <w:sz w:val="32"/>
          <w:szCs w:val="32"/>
        </w:rPr>
        <w:t>、202</w:t>
      </w:r>
      <w:r>
        <w:rPr>
          <w:rFonts w:hint="eastAsia" w:ascii="Times New Roman" w:hAnsi="Times New Roman" w:eastAsia="仿宋" w:cs="Times New Roman"/>
          <w:b w:val="0"/>
          <w:color w:val="auto"/>
          <w:spacing w:val="0"/>
          <w:kern w:val="2"/>
          <w:sz w:val="32"/>
          <w:szCs w:val="32"/>
          <w:lang w:val="en-US" w:eastAsia="zh-CN"/>
        </w:rPr>
        <w:t>5</w:t>
      </w:r>
      <w:r>
        <w:rPr>
          <w:rFonts w:ascii="Times New Roman" w:hAnsi="Times New Roman" w:eastAsia="仿宋" w:cs="Times New Roman"/>
          <w:b w:val="0"/>
          <w:spacing w:val="0"/>
          <w:kern w:val="2"/>
          <w:sz w:val="32"/>
          <w:szCs w:val="32"/>
        </w:rPr>
        <w:t>年度世界综合排名（</w:t>
      </w:r>
      <w:r>
        <w:rPr>
          <w:rFonts w:hint="eastAsia" w:ascii="Times New Roman" w:hAnsi="Times New Roman" w:eastAsia="仿宋" w:cs="Times New Roman"/>
          <w:b w:val="0"/>
          <w:spacing w:val="0"/>
          <w:kern w:val="2"/>
          <w:sz w:val="32"/>
          <w:szCs w:val="32"/>
        </w:rPr>
        <w:t>英国QS世界大学排名、泰晤士高等教育世界大学排名、《美国新闻与世界报道》世界大学排名、软科世界大学学术排名</w:t>
      </w:r>
      <w:r>
        <w:rPr>
          <w:rFonts w:ascii="Times New Roman" w:hAnsi="Times New Roman" w:eastAsia="仿宋" w:cs="Times New Roman"/>
          <w:b w:val="0"/>
          <w:spacing w:val="0"/>
          <w:kern w:val="2"/>
          <w:sz w:val="32"/>
          <w:szCs w:val="32"/>
        </w:rPr>
        <w:t>之一）为准。</w:t>
      </w:r>
    </w:p>
    <w:p w14:paraId="707F5DAF">
      <w:pPr>
        <w:spacing w:line="560" w:lineRule="exact"/>
        <w:ind w:firstLine="640" w:firstLineChars="200"/>
        <w:rPr>
          <w:rFonts w:ascii="黑体" w:hAnsi="黑体" w:eastAsia="黑体" w:cs="黑体"/>
          <w:b w:val="0"/>
          <w:spacing w:val="0"/>
          <w:kern w:val="2"/>
          <w:sz w:val="32"/>
          <w:szCs w:val="32"/>
        </w:rPr>
      </w:pPr>
      <w:r>
        <w:rPr>
          <w:rFonts w:ascii="黑体" w:hAnsi="黑体" w:eastAsia="黑体" w:cs="黑体"/>
          <w:b w:val="0"/>
          <w:spacing w:val="0"/>
          <w:kern w:val="2"/>
          <w:sz w:val="32"/>
          <w:szCs w:val="32"/>
        </w:rPr>
        <w:t>二、科研成果方面</w:t>
      </w:r>
    </w:p>
    <w:p w14:paraId="203F4703">
      <w:pPr>
        <w:spacing w:line="560" w:lineRule="exact"/>
        <w:ind w:firstLine="640" w:firstLineChars="200"/>
        <w:rPr>
          <w:rFonts w:ascii="Times New Roman" w:hAnsi="Times New Roman" w:eastAsia="仿宋" w:cs="Times New Roman"/>
          <w:b w:val="0"/>
          <w:spacing w:val="0"/>
          <w:kern w:val="2"/>
          <w:sz w:val="32"/>
          <w:szCs w:val="32"/>
        </w:rPr>
      </w:pPr>
      <w:r>
        <w:rPr>
          <w:rFonts w:hint="eastAsia" w:ascii="Times New Roman" w:hAnsi="Times New Roman" w:eastAsia="仿宋" w:cs="Times New Roman"/>
          <w:b w:val="0"/>
          <w:spacing w:val="0"/>
          <w:kern w:val="2"/>
          <w:sz w:val="32"/>
          <w:szCs w:val="32"/>
        </w:rPr>
        <w:t>论文</w:t>
      </w:r>
      <w:r>
        <w:rPr>
          <w:rFonts w:ascii="Times New Roman" w:hAnsi="Times New Roman" w:eastAsia="仿宋" w:cs="Times New Roman"/>
          <w:b w:val="0"/>
          <w:spacing w:val="0"/>
          <w:kern w:val="2"/>
          <w:sz w:val="32"/>
          <w:szCs w:val="32"/>
        </w:rPr>
        <w:t>需提供检索报告、扫描文本</w:t>
      </w:r>
      <w:r>
        <w:rPr>
          <w:rFonts w:hint="eastAsia" w:ascii="Times New Roman" w:hAnsi="Times New Roman" w:eastAsia="仿宋" w:cs="Times New Roman"/>
          <w:b w:val="0"/>
          <w:spacing w:val="0"/>
          <w:kern w:val="2"/>
          <w:sz w:val="32"/>
          <w:szCs w:val="32"/>
        </w:rPr>
        <w:t>等材料，SCI、SSCI分区以中科院年度分区为准，独立或通讯第一作者，并列第一作者降一档计分，非第一作者或并列第二顺序以后通讯作者不计分，首次报道类文章不作为学术论文计分；发明专利需提供</w:t>
      </w:r>
      <w:r>
        <w:rPr>
          <w:rFonts w:ascii="Times New Roman" w:hAnsi="Times New Roman" w:eastAsia="仿宋" w:cs="Times New Roman"/>
          <w:b w:val="0"/>
          <w:spacing w:val="0"/>
          <w:kern w:val="2"/>
          <w:sz w:val="32"/>
          <w:szCs w:val="32"/>
        </w:rPr>
        <w:t>作品文件、专利证书等材料，实用新型、外观设计专利不得分。</w:t>
      </w:r>
    </w:p>
    <w:p w14:paraId="5D22E97C">
      <w:pPr>
        <w:spacing w:line="560" w:lineRule="exact"/>
        <w:ind w:firstLine="640" w:firstLineChars="200"/>
        <w:rPr>
          <w:rFonts w:ascii="黑体" w:hAnsi="黑体" w:eastAsia="黑体" w:cs="黑体"/>
          <w:b w:val="0"/>
          <w:spacing w:val="0"/>
          <w:kern w:val="2"/>
          <w:sz w:val="32"/>
          <w:szCs w:val="32"/>
        </w:rPr>
      </w:pPr>
      <w:r>
        <w:rPr>
          <w:rFonts w:hint="eastAsia" w:ascii="黑体" w:hAnsi="黑体" w:eastAsia="黑体" w:cs="黑体"/>
          <w:b w:val="0"/>
          <w:spacing w:val="0"/>
          <w:kern w:val="2"/>
          <w:sz w:val="32"/>
          <w:szCs w:val="32"/>
        </w:rPr>
        <w:t>三、专业技术职称方面</w:t>
      </w:r>
    </w:p>
    <w:p w14:paraId="5D9A4F26">
      <w:pPr>
        <w:spacing w:line="560" w:lineRule="exact"/>
        <w:ind w:firstLine="640" w:firstLineChars="200"/>
        <w:rPr>
          <w:rFonts w:ascii="Times New Roman" w:hAnsi="Times New Roman" w:eastAsia="仿宋" w:cs="Times New Roman"/>
          <w:b w:val="0"/>
          <w:spacing w:val="0"/>
          <w:kern w:val="2"/>
          <w:sz w:val="32"/>
          <w:szCs w:val="32"/>
        </w:rPr>
      </w:pPr>
      <w:r>
        <w:rPr>
          <w:rFonts w:ascii="Times New Roman" w:hAnsi="Times New Roman" w:eastAsia="仿宋" w:cs="Times New Roman"/>
          <w:b w:val="0"/>
          <w:spacing w:val="0"/>
          <w:kern w:val="2"/>
          <w:sz w:val="32"/>
          <w:szCs w:val="32"/>
        </w:rPr>
        <w:t>（一）要求为社会化专业技术职称。</w:t>
      </w:r>
    </w:p>
    <w:p w14:paraId="708C2690">
      <w:pPr>
        <w:spacing w:line="560" w:lineRule="exact"/>
        <w:ind w:firstLine="640" w:firstLineChars="200"/>
        <w:rPr>
          <w:rFonts w:ascii="黑体" w:hAnsi="黑体" w:eastAsia="黑体" w:cs="黑体"/>
          <w:b w:val="0"/>
          <w:spacing w:val="0"/>
          <w:kern w:val="2"/>
          <w:sz w:val="32"/>
          <w:szCs w:val="32"/>
        </w:rPr>
      </w:pPr>
      <w:r>
        <w:rPr>
          <w:rFonts w:ascii="Times New Roman" w:hAnsi="Times New Roman" w:eastAsia="仿宋" w:cs="Times New Roman"/>
          <w:b w:val="0"/>
          <w:spacing w:val="0"/>
          <w:kern w:val="2"/>
          <w:sz w:val="32"/>
          <w:szCs w:val="32"/>
        </w:rPr>
        <w:t>（二）需提供职称证，并可在相应查询系统中查询。</w:t>
      </w:r>
    </w:p>
    <w:p w14:paraId="29EB789A">
      <w:pPr>
        <w:spacing w:line="540" w:lineRule="exact"/>
        <w:ind w:firstLine="640" w:firstLineChars="200"/>
        <w:rPr>
          <w:rFonts w:ascii="黑体" w:hAnsi="黑体" w:eastAsia="黑体" w:cs="黑体"/>
          <w:b w:val="0"/>
          <w:spacing w:val="0"/>
          <w:kern w:val="2"/>
          <w:sz w:val="32"/>
          <w:szCs w:val="32"/>
        </w:rPr>
      </w:pPr>
      <w:r>
        <w:rPr>
          <w:rFonts w:hint="eastAsia" w:ascii="黑体" w:hAnsi="黑体" w:eastAsia="黑体" w:cs="黑体"/>
          <w:b w:val="0"/>
          <w:spacing w:val="0"/>
          <w:kern w:val="2"/>
          <w:sz w:val="32"/>
          <w:szCs w:val="32"/>
        </w:rPr>
        <w:t>四、获得奖项方面</w:t>
      </w:r>
    </w:p>
    <w:p w14:paraId="2BC73D89">
      <w:pPr>
        <w:spacing w:line="560" w:lineRule="exact"/>
        <w:ind w:firstLine="640" w:firstLineChars="200"/>
        <w:rPr>
          <w:rFonts w:ascii="Times New Roman" w:hAnsi="Times New Roman" w:eastAsia="仿宋" w:cs="Times New Roman"/>
          <w:b w:val="0"/>
          <w:spacing w:val="0"/>
          <w:kern w:val="2"/>
          <w:sz w:val="32"/>
          <w:szCs w:val="32"/>
        </w:rPr>
      </w:pPr>
      <w:r>
        <w:rPr>
          <w:rFonts w:ascii="Times New Roman" w:hAnsi="Times New Roman" w:eastAsia="仿宋" w:cs="Times New Roman"/>
          <w:b w:val="0"/>
          <w:spacing w:val="0"/>
          <w:kern w:val="2"/>
          <w:sz w:val="32"/>
          <w:szCs w:val="32"/>
        </w:rPr>
        <w:t>（一）荣誉等级认定上以颁发、授予单位的级别为准，以表彰文件、表</w:t>
      </w:r>
      <w:r>
        <w:rPr>
          <w:rFonts w:ascii="Times New Roman" w:hAnsi="Times New Roman" w:eastAsia="仿宋" w:cs="Times New Roman"/>
          <w:b w:val="0"/>
          <w:spacing w:val="0"/>
          <w:kern w:val="2"/>
          <w:sz w:val="32"/>
          <w:szCs w:val="32"/>
          <w:highlight w:val="none"/>
        </w:rPr>
        <w:t>彰证书、获奖证书、荣誉证书等用章单位作为认定依据。国家级指党中央、国务院授予或颁发的荣誉，省级指中央和国家机关部委及省（自治区、直辖市）党委、政府授予或颁发的荣誉，市级指市党委、政府授予或颁发的荣誉。国家级荣誉中：国家自然科学奖、国家技术发明奖、国家科技进步奖特等奖、国家科技进步奖获得者应为前5位完成人；省级荣誉中：省级科学技术特别贡献奖、自然科学奖、技术发明奖、科学技术进步奖、青年科学技术创新</w:t>
      </w:r>
      <w:r>
        <w:rPr>
          <w:rFonts w:ascii="Times New Roman" w:hAnsi="Times New Roman" w:eastAsia="仿宋" w:cs="Times New Roman"/>
          <w:b w:val="0"/>
          <w:spacing w:val="0"/>
          <w:kern w:val="2"/>
          <w:sz w:val="32"/>
          <w:szCs w:val="32"/>
        </w:rPr>
        <w:t>奖应为前3位完成人。</w:t>
      </w:r>
    </w:p>
    <w:p w14:paraId="25B68F7F">
      <w:pPr>
        <w:spacing w:line="560" w:lineRule="exact"/>
        <w:ind w:firstLine="640" w:firstLineChars="200"/>
        <w:rPr>
          <w:rFonts w:ascii="Times New Roman" w:hAnsi="Times New Roman" w:eastAsia="仿宋" w:cs="Times New Roman"/>
          <w:b/>
          <w:bCs/>
          <w:spacing w:val="0"/>
          <w:kern w:val="2"/>
          <w:sz w:val="32"/>
          <w:szCs w:val="32"/>
        </w:rPr>
      </w:pPr>
      <w:r>
        <w:rPr>
          <w:rFonts w:ascii="Times New Roman" w:hAnsi="Times New Roman" w:eastAsia="仿宋" w:cs="Times New Roman"/>
          <w:b w:val="0"/>
          <w:spacing w:val="0"/>
          <w:kern w:val="2"/>
          <w:sz w:val="32"/>
          <w:szCs w:val="32"/>
        </w:rPr>
        <w:t>（二）学校授予的荣誉不计算得分</w:t>
      </w:r>
      <w:r>
        <w:rPr>
          <w:rFonts w:hint="eastAsia" w:ascii="Times New Roman" w:hAnsi="Times New Roman" w:eastAsia="仿宋" w:cs="Times New Roman"/>
          <w:b w:val="0"/>
          <w:spacing w:val="0"/>
          <w:kern w:val="2"/>
          <w:sz w:val="32"/>
          <w:szCs w:val="32"/>
        </w:rPr>
        <w:t>，</w:t>
      </w:r>
      <w:r>
        <w:rPr>
          <w:rFonts w:hint="eastAsia" w:ascii="Times New Roman" w:hAnsi="Times New Roman" w:eastAsia="仿宋" w:cs="Times New Roman"/>
          <w:b/>
          <w:bCs/>
          <w:spacing w:val="0"/>
          <w:kern w:val="2"/>
          <w:sz w:val="32"/>
          <w:szCs w:val="32"/>
        </w:rPr>
        <w:t>在校期间获得的各类奖学金不计算得分。</w:t>
      </w:r>
    </w:p>
    <w:p w14:paraId="169A0526">
      <w:pPr>
        <w:spacing w:line="560" w:lineRule="exact"/>
        <w:ind w:firstLine="640" w:firstLineChars="200"/>
        <w:rPr>
          <w:rFonts w:ascii="Times New Roman" w:hAnsi="Times New Roman" w:eastAsia="仿宋" w:cs="Times New Roman"/>
          <w:b w:val="0"/>
          <w:spacing w:val="0"/>
          <w:kern w:val="2"/>
          <w:sz w:val="32"/>
          <w:szCs w:val="32"/>
        </w:rPr>
      </w:pPr>
      <w:r>
        <w:rPr>
          <w:rFonts w:ascii="Times New Roman" w:hAnsi="Times New Roman" w:eastAsia="仿宋" w:cs="Times New Roman"/>
          <w:b w:val="0"/>
          <w:spacing w:val="0"/>
          <w:kern w:val="2"/>
          <w:sz w:val="32"/>
          <w:szCs w:val="32"/>
        </w:rPr>
        <w:t>（三）各类协会、社会组织、组委会发放证书的不加分。</w:t>
      </w:r>
    </w:p>
    <w:p w14:paraId="7D993EF9">
      <w:pPr>
        <w:spacing w:line="240" w:lineRule="exact"/>
        <w:rPr>
          <w:rFonts w:hint="eastAsia" w:ascii="Times New Roman" w:hAnsi="Times New Roman" w:eastAsia="仿宋"/>
          <w:b w:val="0"/>
          <w:sz w:val="21"/>
          <w:szCs w:val="21"/>
        </w:rPr>
      </w:pPr>
    </w:p>
    <w:sectPr>
      <w:pgSz w:w="11906" w:h="16838"/>
      <w:pgMar w:top="567" w:right="1304" w:bottom="56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ECE7B5-3660-4F01-B0AC-5C526A1BC86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2" w:fontKey="{AB597EAB-4E39-459A-890D-52CF728F31D8}"/>
  </w:font>
  <w:font w:name="仿宋">
    <w:panose1 w:val="02010609060101010101"/>
    <w:charset w:val="86"/>
    <w:family w:val="modern"/>
    <w:pitch w:val="default"/>
    <w:sig w:usb0="800002BF" w:usb1="38CF7CFA" w:usb2="00000016" w:usb3="00000000" w:csb0="00040001" w:csb1="00000000"/>
    <w:embedRegular r:id="rId3" w:fontKey="{F1289301-A80D-45BF-971E-CB099C9D069C}"/>
  </w:font>
  <w:font w:name="方正公文小标宋">
    <w:panose1 w:val="02000500000000000000"/>
    <w:charset w:val="86"/>
    <w:family w:val="auto"/>
    <w:pitch w:val="default"/>
    <w:sig w:usb0="A00002BF" w:usb1="38CF7CFA" w:usb2="00000016" w:usb3="00000000" w:csb0="00040001" w:csb1="00000000"/>
    <w:embedRegular r:id="rId4" w:fontKey="{4C5FA952-6F0E-475B-BEAE-B579CE5C189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4E2"/>
    <w:rsid w:val="00091BDD"/>
    <w:rsid w:val="00124E75"/>
    <w:rsid w:val="001A63A5"/>
    <w:rsid w:val="001B0F8A"/>
    <w:rsid w:val="001D4CD1"/>
    <w:rsid w:val="001E34E2"/>
    <w:rsid w:val="001F0F41"/>
    <w:rsid w:val="00262CEC"/>
    <w:rsid w:val="00271B53"/>
    <w:rsid w:val="002943C3"/>
    <w:rsid w:val="003C73C3"/>
    <w:rsid w:val="00470199"/>
    <w:rsid w:val="004E5172"/>
    <w:rsid w:val="005D4604"/>
    <w:rsid w:val="00652E43"/>
    <w:rsid w:val="00755446"/>
    <w:rsid w:val="00A072E6"/>
    <w:rsid w:val="00AD6BA6"/>
    <w:rsid w:val="00AF56F7"/>
    <w:rsid w:val="00B379D7"/>
    <w:rsid w:val="00BF7ED7"/>
    <w:rsid w:val="00C314A9"/>
    <w:rsid w:val="00C50E53"/>
    <w:rsid w:val="00CA3A40"/>
    <w:rsid w:val="00CF2A61"/>
    <w:rsid w:val="00D14F90"/>
    <w:rsid w:val="00E462C5"/>
    <w:rsid w:val="00E90740"/>
    <w:rsid w:val="00E95AD8"/>
    <w:rsid w:val="00F74535"/>
    <w:rsid w:val="00FD79EF"/>
    <w:rsid w:val="00FE7FE3"/>
    <w:rsid w:val="01D9009D"/>
    <w:rsid w:val="02226826"/>
    <w:rsid w:val="06602ACF"/>
    <w:rsid w:val="09AD289E"/>
    <w:rsid w:val="0ACE1341"/>
    <w:rsid w:val="0B6C2E47"/>
    <w:rsid w:val="0DBE10AA"/>
    <w:rsid w:val="116F5173"/>
    <w:rsid w:val="11DB0E46"/>
    <w:rsid w:val="12F77D38"/>
    <w:rsid w:val="14A52A95"/>
    <w:rsid w:val="16374CFC"/>
    <w:rsid w:val="16FA1809"/>
    <w:rsid w:val="17840AC6"/>
    <w:rsid w:val="19A22F28"/>
    <w:rsid w:val="1ADF3326"/>
    <w:rsid w:val="1C94239A"/>
    <w:rsid w:val="200F7270"/>
    <w:rsid w:val="269E0744"/>
    <w:rsid w:val="2794090B"/>
    <w:rsid w:val="2CAB3EFE"/>
    <w:rsid w:val="2D0D2D89"/>
    <w:rsid w:val="30F90DB4"/>
    <w:rsid w:val="31545598"/>
    <w:rsid w:val="33941B0E"/>
    <w:rsid w:val="34F342A8"/>
    <w:rsid w:val="35702205"/>
    <w:rsid w:val="39020644"/>
    <w:rsid w:val="3A6D4E67"/>
    <w:rsid w:val="3C29269B"/>
    <w:rsid w:val="3EEC1A80"/>
    <w:rsid w:val="3F516B05"/>
    <w:rsid w:val="42A331AE"/>
    <w:rsid w:val="47974304"/>
    <w:rsid w:val="4A172CB1"/>
    <w:rsid w:val="4E1028CD"/>
    <w:rsid w:val="4F284151"/>
    <w:rsid w:val="4FF629BA"/>
    <w:rsid w:val="5998491C"/>
    <w:rsid w:val="5A0C24CF"/>
    <w:rsid w:val="5F6D4AD6"/>
    <w:rsid w:val="64CB315B"/>
    <w:rsid w:val="65B25A1B"/>
    <w:rsid w:val="6696142A"/>
    <w:rsid w:val="67DE32EF"/>
    <w:rsid w:val="6E8E1B18"/>
    <w:rsid w:val="6EDB433B"/>
    <w:rsid w:val="6EE6711E"/>
    <w:rsid w:val="6F5516B4"/>
    <w:rsid w:val="70103617"/>
    <w:rsid w:val="76451505"/>
    <w:rsid w:val="7A841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b/>
      <w:spacing w:val="-10"/>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link w:val="4"/>
    <w:qFormat/>
    <w:uiPriority w:val="99"/>
    <w:rPr>
      <w:rFonts w:ascii="宋体" w:hAnsi="宋体" w:eastAsia="宋体" w:cs="Times New Roman"/>
      <w:b/>
      <w:spacing w:val="-10"/>
      <w:kern w:val="0"/>
      <w:sz w:val="18"/>
      <w:szCs w:val="18"/>
    </w:rPr>
  </w:style>
  <w:style w:type="character" w:customStyle="1" w:styleId="8">
    <w:name w:val="页脚 字符"/>
    <w:link w:val="3"/>
    <w:qFormat/>
    <w:uiPriority w:val="99"/>
    <w:rPr>
      <w:rFonts w:ascii="宋体" w:hAnsi="宋体" w:eastAsia="宋体" w:cs="Times New Roman"/>
      <w:b/>
      <w:spacing w:val="-10"/>
      <w:kern w:val="0"/>
      <w:sz w:val="18"/>
      <w:szCs w:val="18"/>
    </w:rPr>
  </w:style>
  <w:style w:type="character" w:customStyle="1" w:styleId="9">
    <w:name w:val="批注框文本 字符"/>
    <w:link w:val="2"/>
    <w:qFormat/>
    <w:uiPriority w:val="99"/>
    <w:rPr>
      <w:rFonts w:ascii="宋体" w:hAnsi="宋体" w:eastAsia="宋体" w:cs="Times New Roman"/>
      <w:b/>
      <w:spacing w:val="-1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赤峰市人力资源和社会保障局</Company>
  <Pages>3</Pages>
  <Words>1787</Words>
  <Characters>1959</Characters>
  <Lines>9</Lines>
  <Paragraphs>2</Paragraphs>
  <TotalTime>23</TotalTime>
  <ScaleCrop>false</ScaleCrop>
  <LinksUpToDate>false</LinksUpToDate>
  <CharactersWithSpaces>2097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2022-04-29T01:07:00Z</dcterms:created>
  <dc:creator>Yuan</dc:creator>
  <cp:lastModifiedBy>某&amp;糖</cp:lastModifiedBy>
  <cp:lastPrinted>2026-03-24T01:10:00Z</cp:lastPrinted>
  <dcterms:modified xsi:type="dcterms:W3CDTF">2026-05-22T01:36:37Z</dcterms:modified>
  <dc:title>附件2：</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D7E2C1C34FB54ED7BC652601916A426B_13</vt:lpwstr>
  </property>
  <property fmtid="{D5CDD505-2E9C-101B-9397-08002B2CF9AE}" pid="4" name="KSOTemplateDocerSaveRecord">
    <vt:lpwstr>eyJoZGlkIjoiNDM2MWI4NjhiMjY0M2VmNzNkMDFhM2VkZjc1YjdlY2IiLCJ1c2VySWQiOiIzMjQ0MDU2NDYifQ==</vt:lpwstr>
  </property>
</Properties>
</file>