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2CFBA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both"/>
        <w:textAlignment w:val="auto"/>
        <w:rPr>
          <w:rFonts w:ascii="黑体" w:cs="黑体" w:eastAsia="黑体" w:hAnsi="黑体" w:hint="default"/>
          <w:b w:val="false"/>
          <w:bCs w:val="false"/>
          <w:sz w:val="24"/>
          <w:szCs w:val="24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21"/>
          <w:szCs w:val="21"/>
          <w:lang w:val="en-US" w:eastAsia="zh-CN"/>
        </w:rPr>
        <w:t>附件1</w:t>
      </w:r>
    </w:p>
    <w:bookmarkStart w:id="0" w:name="OLE_LINK2"/>
    <w:tbl>
      <w:tblPr>
        <w:tblStyle w:val="style154"/>
        <w:tblpPr w:leftFromText="180" w:rightFromText="180" w:topFromText="0" w:bottomFromText="0" w:vertAnchor="text" w:horzAnchor="page" w:tblpX="1043" w:tblpY="1214"/>
        <w:tblW w:w="15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08"/>
        <w:gridCol w:w="1725"/>
        <w:gridCol w:w="1219"/>
        <w:gridCol w:w="996"/>
        <w:gridCol w:w="8563"/>
      </w:tblGrid>
      <w:tr w14:paraId="6731AB87">
        <w:trPr>
          <w:trHeight w:val="786" w:hRule="atLeast"/>
          <w:jc w:val="center"/>
        </w:trPr>
        <w:tc>
          <w:tcPr>
            <w:tcW w:w="805" w:type="dxa"/>
            <w:tcBorders/>
            <w:vAlign w:val="center"/>
          </w:tcPr>
          <w:p w14:paraId="45AE3C0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</w:rPr>
              <w:t>序号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483B84D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vAlign w:val="center"/>
          </w:tcPr>
          <w:p w14:paraId="225175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vAlign w:val="center"/>
          </w:tcPr>
          <w:p w14:paraId="1293B12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default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</w:rPr>
              <w:t>学历</w:t>
            </w:r>
          </w:p>
        </w:tc>
        <w:tc>
          <w:tcPr>
            <w:tcW w:w="996" w:type="dxa"/>
            <w:tcBorders/>
            <w:vAlign w:val="center"/>
          </w:tcPr>
          <w:p w14:paraId="423937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招聘</w:t>
            </w:r>
          </w:p>
          <w:p w14:paraId="54E1B0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563" w:type="dxa"/>
            <w:tcBorders/>
            <w:vAlign w:val="center"/>
          </w:tcPr>
          <w:p w14:paraId="3F796B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default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5F5F3D3D">
        <w:tblPrEx/>
        <w:trPr>
          <w:trHeight w:val="2394" w:hRule="atLeast"/>
          <w:jc w:val="center"/>
        </w:trPr>
        <w:tc>
          <w:tcPr>
            <w:tcW w:w="805" w:type="dxa"/>
            <w:tcBorders/>
            <w:vAlign w:val="center"/>
          </w:tcPr>
          <w:p w14:paraId="4FFB834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54DEF">
            <w:pPr>
              <w:pStyle w:val="style0"/>
              <w:rPr>
                <w:rFonts w:ascii="仿宋" w:cs="仿宋" w:eastAsia="仿宋" w:hAnsi="仿宋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sz w:val="24"/>
                <w:szCs w:val="24"/>
              </w:rPr>
              <w:t>商务拓展人员</w:t>
            </w:r>
          </w:p>
          <w:p w14:paraId="1EC9C6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009D">
            <w:pPr>
              <w:pStyle w:val="style0"/>
              <w:ind w:firstLine="480" w:firstLineChars="200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岁以下</w:t>
            </w:r>
          </w:p>
          <w:p w14:paraId="366AA14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  <w:t>（男女不限）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B01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D95C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63" w:type="dxa"/>
            <w:tcBorders/>
            <w:shd w:val="clear" w:color="auto" w:fill="auto"/>
            <w:vAlign w:val="center"/>
          </w:tcPr>
          <w:p w14:paraId="2F7F8C61">
            <w:pPr>
              <w:pStyle w:val="style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1.具有较强的商务拓展、沟通协调能力和团队协作意识，具有责任感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抗压能力强，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有农业、电力专业经验、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市场工作经验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优先考虑；</w:t>
            </w:r>
          </w:p>
          <w:p w14:paraId="66EA0DD6">
            <w:pPr>
              <w:pStyle w:val="style0"/>
              <w:ind w:firstLine="480" w:firstLineChars="2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2.有良好的客户意识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性格阳光，善于表达，具备较强的商务谈判、公关协调、抗压能力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有市场开拓精神；</w:t>
            </w:r>
          </w:p>
          <w:p w14:paraId="1039678C">
            <w:pPr>
              <w:pStyle w:val="style0"/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284FA391">
        <w:tblPrEx/>
        <w:trPr>
          <w:trHeight w:val="4187" w:hRule="atLeast"/>
          <w:jc w:val="center"/>
        </w:trPr>
        <w:tc>
          <w:tcPr>
            <w:tcW w:w="805" w:type="dxa"/>
            <w:tcBorders/>
            <w:vAlign w:val="center"/>
          </w:tcPr>
          <w:p w14:paraId="1B7D0A0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3BFFDAF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电力交易主管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7216">
            <w:pPr>
              <w:pStyle w:val="style0"/>
              <w:ind w:firstLine="480" w:firstLineChars="200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岁以下</w:t>
            </w:r>
          </w:p>
          <w:p w14:paraId="11B8627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  <w:t>（男女不限）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8ED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A75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default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tcBorders/>
            <w:vAlign w:val="center"/>
          </w:tcPr>
          <w:p w14:paraId="7D48305F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ind w:firstLine="480" w:firstLineChars="200"/>
              <w:jc w:val="both"/>
              <w:textAlignment w:val="auto"/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1、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全日制本科及以上；电力系统、电气工程、能源经济、金融、统计、经济学等相关专业优先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</w:t>
            </w:r>
          </w:p>
          <w:p w14:paraId="768FE967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ind w:firstLine="480" w:firstLineChars="200"/>
              <w:jc w:val="both"/>
              <w:textAlignment w:val="auto"/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2、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3–5年电力交易经验（含现货）；2年以上团队管理/主管经验；售电公司、电网、发电集团背景优先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；具有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电力交易员资格、中级及以上职称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者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优先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</w:t>
            </w:r>
          </w:p>
          <w:p w14:paraId="43FA1E7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ind w:firstLine="480" w:firstLineChars="200"/>
              <w:jc w:val="both"/>
              <w:textAlignment w:val="auto"/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3、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熟悉电力现货市场规则：日前/实时申报、出清、结算、偏差考核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，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掌握中长期+现货+辅助服务全品类交易流程与组合策略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了解电力系统运行、调度、负荷特性、电源（火电/风光/储能）成本与出力特性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熟悉区域/省级交易中心平台操作、合同与结算流程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具备电价预测、市场供需分析、交易建模基础能力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；</w:t>
            </w:r>
          </w:p>
          <w:p w14:paraId="3F86A8DE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ind w:firstLine="480" w:firstLineChars="200"/>
              <w:jc w:val="both"/>
              <w:textAlignment w:val="auto"/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4、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严谨合规、保密意识强、责任心强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，具有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强抗压、应变、决策能力，适应高频、快节奏交易环境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，</w:t>
            </w:r>
            <w:r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优秀沟通协调、谈判、汇报能力</w:t>
            </w:r>
            <w:r>
              <w:rPr>
                <w:rFonts w:ascii="仿宋" w:cs="仿宋" w:eastAsia="仿宋" w:hAnsi="仿宋" w:hint="eastAsia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  <w:t>。</w:t>
            </w:r>
          </w:p>
          <w:p w14:paraId="1D4D018F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jc w:val="both"/>
              <w:textAlignment w:val="auto"/>
              <w:rPr>
                <w:rFonts w:ascii="仿宋" w:cs="仿宋" w:eastAsia="仿宋" w:hAnsi="仿宋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bookmarkEnd w:id="0"/>
    </w:tbl>
    <w:p w14:paraId="6234240A">
      <w:pPr>
        <w:pStyle w:val="style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招聘需求表</w:t>
      </w:r>
    </w:p>
    <w:p w14:paraId="21424EFC">
      <w:pPr>
        <w:pStyle w:val="style0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招聘需求表</w:t>
      </w:r>
    </w:p>
    <w:tbl>
      <w:tblPr>
        <w:tblStyle w:val="style154"/>
        <w:tblpPr w:leftFromText="180" w:rightFromText="180" w:topFromText="0" w:bottomFromText="0" w:vertAnchor="text" w:horzAnchor="page" w:tblpX="836" w:tblpY="872"/>
        <w:tblW w:w="14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08"/>
        <w:gridCol w:w="1725"/>
        <w:gridCol w:w="1219"/>
        <w:gridCol w:w="996"/>
        <w:gridCol w:w="8394"/>
      </w:tblGrid>
      <w:tr w14:paraId="0B78305A">
        <w:trPr>
          <w:trHeight w:val="786" w:hRule="atLeast"/>
          <w:jc w:val="center"/>
        </w:trPr>
        <w:tc>
          <w:tcPr>
            <w:tcW w:w="805" w:type="dxa"/>
            <w:tcBorders/>
            <w:vAlign w:val="center"/>
          </w:tcPr>
          <w:p w14:paraId="079618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</w:rPr>
              <w:t>序号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7540D1D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725" w:type="dxa"/>
            <w:tcBorders>
              <w:left w:val="single" w:sz="4" w:space="0" w:color="auto"/>
            </w:tcBorders>
            <w:vAlign w:val="center"/>
          </w:tcPr>
          <w:p w14:paraId="3B5A4B5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vAlign w:val="center"/>
          </w:tcPr>
          <w:p w14:paraId="15E2774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default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</w:rPr>
              <w:t>学历</w:t>
            </w:r>
          </w:p>
        </w:tc>
        <w:tc>
          <w:tcPr>
            <w:tcW w:w="996" w:type="dxa"/>
            <w:tcBorders/>
            <w:vAlign w:val="center"/>
          </w:tcPr>
          <w:p w14:paraId="6C5684E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招聘</w:t>
            </w:r>
          </w:p>
          <w:p w14:paraId="7E9ED00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394" w:type="dxa"/>
            <w:tcBorders/>
            <w:vAlign w:val="center"/>
          </w:tcPr>
          <w:p w14:paraId="23C1F29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黑体" w:cs="黑体" w:eastAsia="黑体" w:hAnsi="黑体" w:hint="default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黑体" w:cs="黑体" w:eastAsia="黑体" w:hAnsi="黑体" w:hint="eastAsia"/>
                <w:b w:val="false"/>
                <w:bCs w:val="false"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004C3EAC">
        <w:tblPrEx/>
        <w:trPr>
          <w:trHeight w:val="2487" w:hRule="atLeast"/>
          <w:jc w:val="center"/>
        </w:trPr>
        <w:tc>
          <w:tcPr>
            <w:tcW w:w="805" w:type="dxa"/>
            <w:tcBorders/>
            <w:vAlign w:val="center"/>
          </w:tcPr>
          <w:p w14:paraId="4654C17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宋体" w:cs="宋体" w:eastAsia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3</w:t>
            </w:r>
          </w:p>
          <w:bookmarkStart w:id="1" w:name="OLE_LINK6"/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14:paraId="4BA933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宋体" w:cs="宋体" w:eastAsia="宋体" w:hAnsi="宋体" w:hint="default"/>
                <w:b w:val="false"/>
                <w:bCs w:val="false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Arial" w:eastAsia="仿宋" w:hAnsi="仿宋" w:hint="eastAsia"/>
                <w:b w:val="false"/>
                <w:bCs w:val="false"/>
                <w:color w:val="333333"/>
                <w:sz w:val="24"/>
                <w:szCs w:val="24"/>
                <w:shd w:val="clear" w:color="auto" w:fill="ffffff"/>
              </w:rPr>
              <w:t>系统</w:t>
            </w:r>
            <w:r>
              <w:rPr>
                <w:rFonts w:ascii="仿宋" w:cs="Arial" w:eastAsia="仿宋" w:hAnsi="仿宋" w:hint="eastAsia"/>
                <w:b w:val="false"/>
                <w:bCs w:val="false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开发</w:t>
            </w:r>
            <w:r>
              <w:rPr>
                <w:rFonts w:ascii="仿宋" w:cs="Arial" w:eastAsia="仿宋" w:hAnsi="仿宋" w:hint="eastAsia"/>
                <w:b w:val="false"/>
                <w:bCs w:val="false"/>
                <w:color w:val="333333"/>
                <w:sz w:val="24"/>
                <w:szCs w:val="24"/>
                <w:shd w:val="clear" w:color="auto" w:fill="ffffff"/>
              </w:rPr>
              <w:t>人员</w:t>
            </w:r>
            <w:bookmarkEnd w:id="1"/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3E73">
            <w:pPr>
              <w:pStyle w:val="style0"/>
              <w:ind w:firstLine="480" w:firstLineChars="2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岁以下</w:t>
            </w:r>
          </w:p>
          <w:p w14:paraId="19A0954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DE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本科及以上学历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CFA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4"/>
                <w:szCs w:val="24"/>
                <w:lang w:val="en-US" w:bidi="ar-SA" w:eastAsia="zh-CN"/>
              </w:rPr>
              <w:t>2</w:t>
            </w:r>
          </w:p>
        </w:tc>
        <w:tc>
          <w:tcPr>
            <w:tcW w:w="8394" w:type="dxa"/>
            <w:tcBorders/>
            <w:vAlign w:val="center"/>
          </w:tcPr>
          <w:p w14:paraId="0B0BF541">
            <w:pPr>
              <w:pStyle w:val="style0"/>
              <w:ind w:firstLine="240" w:firstLineChars="100"/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A7F82C">
            <w:pPr>
              <w:pStyle w:val="style0"/>
              <w:numPr>
                <w:ilvl w:val="0"/>
                <w:numId w:val="1"/>
              </w:numPr>
              <w:ind w:left="600" w:leftChars="0" w:firstLine="0" w:firstLineChars="0"/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  <w:t>计算机科学相关专业毕业；</w:t>
            </w:r>
          </w:p>
          <w:p w14:paraId="6C6C3557">
            <w:pPr>
              <w:pStyle w:val="style0"/>
              <w:numPr>
                <w:ilvl w:val="0"/>
                <w:numId w:val="1"/>
              </w:numPr>
              <w:ind w:left="600" w:leftChars="0" w:firstLine="0" w:firstLineChars="0"/>
              <w:rPr>
                <w:rFonts w:ascii="仿宋" w:cs="Arial" w:eastAsia="仿宋" w:hAnsi="仿宋" w:hint="default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  <w:t>年以上IT相关工作经验，</w:t>
            </w:r>
          </w:p>
          <w:p w14:paraId="1D27F642">
            <w:pPr>
              <w:pStyle w:val="style0"/>
              <w:numPr>
                <w:ilvl w:val="0"/>
                <w:numId w:val="1"/>
              </w:numPr>
              <w:ind w:left="600" w:leftChars="0" w:firstLine="0"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具有农业信息化专业、经验、电力交易系统开发经验者优先考虑；</w:t>
            </w:r>
          </w:p>
          <w:p w14:paraId="07EC9146">
            <w:pPr>
              <w:pStyle w:val="style0"/>
              <w:numPr>
                <w:ilvl w:val="0"/>
                <w:numId w:val="1"/>
              </w:numPr>
              <w:ind w:left="600" w:leftChars="0" w:firstLine="0" w:firstLineChars="0"/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  <w:t>能够熟练的使用计算机，对</w:t>
            </w: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软、</w:t>
            </w:r>
            <w:r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  <w:t>硬件知识有最基本的了解</w:t>
            </w: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  <w:t>能够独立分析问题并快速定位解决；</w:t>
            </w:r>
          </w:p>
          <w:p w14:paraId="4A4851D0">
            <w:pPr>
              <w:pStyle w:val="style0"/>
              <w:numPr>
                <w:ilvl w:val="0"/>
                <w:numId w:val="1"/>
              </w:numPr>
              <w:ind w:left="600" w:leftChars="0" w:firstLine="0" w:firstLineChars="0"/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cs="Arial" w:eastAsia="仿宋" w:hAnsi="仿宋"/>
                <w:color w:val="333333"/>
                <w:sz w:val="24"/>
                <w:szCs w:val="24"/>
                <w:shd w:val="clear" w:color="auto" w:fill="ffffff"/>
              </w:rPr>
              <w:t>强烈的责任心与团队合作精神，良好的沟通协调能力和学习能力</w:t>
            </w:r>
            <w:r>
              <w:rPr>
                <w:rFonts w:ascii="仿宋" w:cs="Arial" w:eastAsia="仿宋" w:hAnsi="仿宋" w:hint="eastAsia"/>
                <w:color w:val="333333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ascii="仿宋" w:cs="Arial" w:eastAsia="仿宋" w:hAnsi="仿宋"/>
                <w:color w:val="333333"/>
                <w:sz w:val="24"/>
                <w:szCs w:val="24"/>
              </w:rPr>
              <w:br/>
            </w:r>
          </w:p>
          <w:p w14:paraId="6E64A7B1">
            <w:pPr>
              <w:pStyle w:val="style0"/>
              <w:rPr>
                <w:rFonts w:ascii="宋体" w:cs="宋体" w:eastAsia="宋体" w:hAnsi="宋体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</w:p>
        </w:tc>
      </w:tr>
      <w:tr w14:paraId="12615CE7">
        <w:tblPrEx/>
        <w:trPr>
          <w:trHeight w:val="2487" w:hRule="atLeast"/>
          <w:jc w:val="center"/>
        </w:trPr>
        <w:tc>
          <w:tcPr>
            <w:tcW w:w="805" w:type="dxa"/>
            <w:tcBorders/>
            <w:vAlign w:val="center"/>
          </w:tcPr>
          <w:p w14:paraId="46AC82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1BAE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  <w:t>商务内勤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F471">
            <w:pPr>
              <w:pStyle w:val="style0"/>
              <w:ind w:firstLine="480" w:firstLineChars="200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岁以下</w:t>
            </w:r>
          </w:p>
          <w:p w14:paraId="17140C2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78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本科及以上学历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264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jc w:val="center"/>
              <w:textAlignment w:val="auto"/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4"/>
                <w:szCs w:val="24"/>
                <w:lang w:val="en-US" w:bidi="ar-SA" w:eastAsia="zh-CN"/>
              </w:rPr>
              <w:t>1</w:t>
            </w:r>
          </w:p>
        </w:tc>
        <w:tc>
          <w:tcPr>
            <w:tcW w:w="8394" w:type="dxa"/>
            <w:tcBorders/>
            <w:shd w:val="clear" w:color="auto" w:fill="auto"/>
            <w:vAlign w:val="center"/>
          </w:tcPr>
          <w:p w14:paraId="44A5AAF1">
            <w:pPr>
              <w:pStyle w:val="style0"/>
              <w:ind w:firstLine="480" w:firstLineChars="2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三年以上同岗位工作经验，具有较好的职业素养和气质；</w:t>
            </w:r>
          </w:p>
          <w:p w14:paraId="4A3EBAE8">
            <w:pPr>
              <w:pStyle w:val="style0"/>
              <w:ind w:firstLine="480" w:firstLineChars="2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具有平面设计、招投标、档案管理、方案写作经验者优先考虑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56FC57E9">
            <w:pPr>
              <w:pStyle w:val="style0"/>
              <w:ind w:firstLine="480" w:firstLineChars="200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3、具有较好的沟通协调能力，工作积极主动，吃苦耐劳，严谨务实，有极强的工作责任心，工作干练、优秀的沟通协调能力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；</w:t>
            </w:r>
          </w:p>
          <w:p w14:paraId="4FE71FF3">
            <w:pPr>
              <w:pStyle w:val="style0"/>
              <w:ind w:firstLine="480" w:firstLineChars="200"/>
              <w:rPr>
                <w:rFonts w:ascii="宋体" w:cs="宋体" w:eastAsia="仿宋" w:hAnsi="宋体" w:hint="default"/>
                <w:b w:val="false"/>
                <w:bCs w:val="false"/>
                <w:kern w:val="2"/>
                <w:sz w:val="24"/>
                <w:szCs w:val="24"/>
                <w:highlight w:val="none"/>
                <w:lang w:val="en-US" w:bidi="ar-SA"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4、能熟练运用各类办公软件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；</w:t>
            </w:r>
          </w:p>
        </w:tc>
      </w:tr>
    </w:tbl>
    <w:p w14:paraId="1061EC60">
      <w:pPr>
        <w:pStyle w:val="style0"/>
        <w:jc w:val="both"/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</w:pPr>
    </w:p>
    <w:p w14:paraId="2109937B">
      <w:pPr>
        <w:pStyle w:val="style0"/>
        <w:jc w:val="both"/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</w:pPr>
    </w:p>
    <w:p w14:paraId="4AFE94F5">
      <w:pPr>
        <w:pStyle w:val="style0"/>
        <w:jc w:val="both"/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</w:pPr>
    </w:p>
    <w:p w14:paraId="0DF1C093">
      <w:pPr>
        <w:pStyle w:val="style0"/>
        <w:ind w:firstLine="10560" w:firstLineChars="4400"/>
        <w:jc w:val="both"/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  <w:t>内蒙古天楷新能源科技有限公司</w:t>
      </w:r>
    </w:p>
    <w:p w14:paraId="6D96D516">
      <w:pPr>
        <w:pStyle w:val="style0"/>
        <w:jc w:val="right"/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</w:pPr>
    </w:p>
    <w:p w14:paraId="2984E7C8">
      <w:pPr>
        <w:pStyle w:val="style0"/>
        <w:jc w:val="right"/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  <w:t>2026年4月17</w:t>
      </w:r>
      <w:bookmarkStart w:id="2" w:name="_GoBack"/>
      <w:bookmarkEnd w:id="2"/>
      <w:r>
        <w:rPr>
          <w:rFonts w:ascii="仿宋" w:cs="仿宋" w:eastAsia="仿宋" w:hAnsi="仿宋" w:hint="eastAsia"/>
          <w:b w:val="false"/>
          <w:bCs w:val="false"/>
          <w:sz w:val="24"/>
          <w:szCs w:val="24"/>
          <w:lang w:val="en-US" w:eastAsia="zh-CN"/>
        </w:rPr>
        <w:t>日</w:t>
      </w: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Calibri Light">
    <w:altName w:val="Calibri Light"/>
    <w:panose1 w:val="020f0302020000030204"/>
    <w:charset w:val="00"/>
    <w:family w:val="auto"/>
    <w:pitch w:val="default"/>
    <w:sig w:usb0="E4002EFF" w:usb1="C200247B" w:usb2="00000009" w:usb3="00000000" w:csb0="200001F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17AA9CB"/>
    <w:lvl w:ilvl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62">
    <w:name w:val="Title"/>
    <w:basedOn w:val="style0"/>
    <w:next w:val="style0"/>
    <w:qFormat/>
    <w:uiPriority w:val="10"/>
    <w:pPr>
      <w:pBdr>
        <w:bottom w:val="single" w:sz="8" w:space="4" w:color="4874cb"/>
      </w:pBdr>
      <w:spacing w:after="300"/>
      <w:contextualSpacing/>
    </w:pPr>
    <w:rPr>
      <w:rFonts w:ascii="Calibri Light" w:cs="宋体" w:eastAsia="宋体" w:hAnsi="Calibri Light"/>
      <w:color w:val="333f50"/>
      <w:spacing w:val="5"/>
      <w:kern w:val="28"/>
      <w:sz w:val="52"/>
      <w:szCs w:val="52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825</Words>
  <Pages>2</Pages>
  <Characters>836</Characters>
  <Application>WPS Office</Application>
  <DocSecurity>0</DocSecurity>
  <Paragraphs>73</Paragraphs>
  <ScaleCrop>false</ScaleCrop>
  <LinksUpToDate>false</LinksUpToDate>
  <CharactersWithSpaces>838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2024-12-17T06:10:00Z</dcterms:created>
  <dc:creator>马鸣春</dc:creator>
  <lastModifiedBy>NOH-AN00</lastModifiedBy>
  <lastPrinted>2024-12-19T08:50:00Z</lastPrinted>
  <dcterms:modified xsi:type="dcterms:W3CDTF">2026-04-17T04:42:46Z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8A4695A3A71945578507C134879AEA3D_11</vt:lpwstr>
  </property>
  <property fmtid="{D5CDD505-2E9C-101B-9397-08002B2CF9AE}" pid="4" name="KSOTemplateDocerSaveRecord">
    <vt:lpwstr>eyJoZGlkIjoiMjdhOTQxZjFhZjI1N2Q4NWJmYzUxMGVjMmRlMmJlYWIiLCJ1c2VySWQiOiIyMzQ1OTU5NjgifQ==</vt:lpwstr>
  </property>
</Properties>
</file>