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bookmarkStart w:id="0" w:name="_GoBack"/>
      <w:bookmarkEnd w:id="0"/>
      <w:r>
        <w:rPr>
          <w:rFonts w:hint="eastAsia" w:ascii="黑体" w:hAnsi="黑体" w:eastAsia="黑体" w:cs="黑体"/>
          <w:b w:val="0"/>
          <w:spacing w:val="-17"/>
          <w:sz w:val="28"/>
          <w:szCs w:val="28"/>
          <w:lang w:val="en-US" w:eastAsia="zh-CN"/>
        </w:rPr>
        <w:t>3：</w:t>
      </w:r>
    </w:p>
    <w:p>
      <w:pPr>
        <w:jc w:val="center"/>
        <w:rPr>
          <w:rFonts w:hint="eastAsia" w:ascii="方正小标宋简体" w:hAnsi="方正小标宋简体" w:eastAsia="方正小标宋简体" w:cs="方正小标宋简体"/>
          <w:b w:val="0"/>
          <w:spacing w:val="0"/>
          <w:sz w:val="36"/>
          <w:szCs w:val="36"/>
          <w:lang w:val="en-US" w:eastAsia="zh-CN"/>
        </w:rPr>
      </w:pPr>
      <w:r>
        <w:rPr>
          <w:rFonts w:hint="eastAsia" w:ascii="方正小标宋简体" w:hAnsi="方正小标宋简体" w:eastAsia="方正小标宋简体" w:cs="方正小标宋简体"/>
          <w:b w:val="0"/>
          <w:spacing w:val="0"/>
          <w:sz w:val="32"/>
          <w:szCs w:val="32"/>
          <w:lang w:val="en-US" w:eastAsia="zh-CN"/>
        </w:rPr>
        <w:t>通辽市霍林郭勒市</w:t>
      </w:r>
      <w:r>
        <w:rPr>
          <w:rFonts w:hint="eastAsia" w:ascii="方正小标宋简体" w:hAnsi="方正小标宋简体" w:eastAsia="方正小标宋简体" w:cs="方正小标宋简体"/>
          <w:b w:val="0"/>
          <w:spacing w:val="0"/>
          <w:sz w:val="32"/>
          <w:szCs w:val="32"/>
          <w:lang w:eastAsia="zh-CN"/>
        </w:rPr>
        <w:t>事业单位</w:t>
      </w:r>
      <w:r>
        <w:rPr>
          <w:rFonts w:hint="eastAsia" w:ascii="方正小标宋简体" w:hAnsi="方正小标宋简体" w:eastAsia="方正小标宋简体" w:cs="方正小标宋简体"/>
          <w:b w:val="0"/>
          <w:spacing w:val="0"/>
          <w:sz w:val="32"/>
          <w:szCs w:val="32"/>
        </w:rPr>
        <w:t>202</w:t>
      </w:r>
      <w:r>
        <w:rPr>
          <w:rFonts w:hint="eastAsia" w:ascii="方正小标宋简体" w:hAnsi="方正小标宋简体" w:eastAsia="方正小标宋简体" w:cs="方正小标宋简体"/>
          <w:b w:val="0"/>
          <w:spacing w:val="0"/>
          <w:sz w:val="32"/>
          <w:szCs w:val="32"/>
          <w:lang w:val="en-US" w:eastAsia="zh-CN"/>
        </w:rPr>
        <w:t>6</w:t>
      </w:r>
      <w:r>
        <w:rPr>
          <w:rFonts w:hint="eastAsia" w:ascii="方正小标宋简体" w:hAnsi="方正小标宋简体" w:eastAsia="方正小标宋简体" w:cs="方正小标宋简体"/>
          <w:b w:val="0"/>
          <w:spacing w:val="0"/>
          <w:sz w:val="32"/>
          <w:szCs w:val="32"/>
        </w:rPr>
        <w:t>年</w:t>
      </w:r>
      <w:r>
        <w:rPr>
          <w:rFonts w:hint="eastAsia" w:ascii="方正小标宋简体" w:hAnsi="方正小标宋简体" w:eastAsia="方正小标宋简体" w:cs="方正小标宋简体"/>
          <w:b w:val="0"/>
          <w:spacing w:val="0"/>
          <w:sz w:val="32"/>
          <w:szCs w:val="32"/>
          <w:lang w:eastAsia="zh-CN"/>
        </w:rPr>
        <w:t>第一批次人才</w:t>
      </w:r>
      <w:r>
        <w:rPr>
          <w:rFonts w:hint="eastAsia" w:ascii="方正小标宋简体" w:hAnsi="方正小标宋简体" w:eastAsia="方正小标宋简体" w:cs="方正小标宋简体"/>
          <w:b w:val="0"/>
          <w:spacing w:val="0"/>
          <w:sz w:val="32"/>
          <w:szCs w:val="32"/>
        </w:rPr>
        <w:t>引进人才评价表</w:t>
      </w:r>
    </w:p>
    <w:p>
      <w:pPr>
        <w:jc w:val="both"/>
        <w:rPr>
          <w:rFonts w:ascii="微软雅黑" w:hAnsi="黑体" w:eastAsia="微软雅黑"/>
          <w:b w:val="0"/>
          <w:sz w:val="36"/>
          <w:szCs w:val="36"/>
        </w:rPr>
      </w:pPr>
      <w:r>
        <w:rPr>
          <w:rFonts w:hint="eastAsia" w:ascii="微软雅黑" w:hAnsi="黑体" w:eastAsia="微软雅黑"/>
          <w:b w:val="0"/>
          <w:sz w:val="24"/>
          <w:szCs w:val="24"/>
          <w:lang w:eastAsia="zh-CN"/>
        </w:rPr>
        <w:t>报考单位：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报考岗位：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w:t>
      </w:r>
      <w:r>
        <w:rPr>
          <w:rFonts w:hint="eastAsia" w:ascii="微软雅黑" w:hAnsi="黑体" w:eastAsia="微软雅黑"/>
          <w:b w:val="0"/>
          <w:sz w:val="24"/>
          <w:szCs w:val="24"/>
          <w:lang w:val="en-US" w:eastAsia="zh-CN"/>
        </w:rPr>
        <w:t>自评得分：</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w:t>
      </w:r>
      <w:r>
        <w:rPr>
          <w:rFonts w:hint="eastAsia" w:ascii="微软雅黑" w:hAnsi="黑体" w:eastAsia="微软雅黑"/>
          <w:b w:val="0"/>
          <w:sz w:val="24"/>
          <w:szCs w:val="24"/>
          <w:lang w:val="en-US" w:eastAsia="zh-CN"/>
        </w:rPr>
        <w:t xml:space="preserve">复核得分： </w:t>
      </w:r>
      <w:r>
        <w:rPr>
          <w:rFonts w:hint="eastAsia" w:ascii="微软雅黑" w:hAnsi="黑体" w:eastAsia="微软雅黑"/>
          <w:b w:val="0"/>
          <w:sz w:val="24"/>
          <w:szCs w:val="24"/>
          <w:u w:val="single"/>
          <w:lang w:val="en-US" w:eastAsia="zh-CN"/>
        </w:rPr>
        <w:t xml:space="preserve">           </w:t>
      </w:r>
    </w:p>
    <w:tbl>
      <w:tblPr>
        <w:tblStyle w:val="3"/>
        <w:tblW w:w="0" w:type="auto"/>
        <w:jc w:val="center"/>
        <w:tblLayout w:type="autofit"/>
        <w:tblCellMar>
          <w:top w:w="0" w:type="dxa"/>
          <w:left w:w="108" w:type="dxa"/>
          <w:bottom w:w="0" w:type="dxa"/>
          <w:right w:w="108" w:type="dxa"/>
        </w:tblCellMar>
      </w:tblPr>
      <w:tblGrid>
        <w:gridCol w:w="720"/>
        <w:gridCol w:w="789"/>
        <w:gridCol w:w="7149"/>
        <w:gridCol w:w="527"/>
        <w:gridCol w:w="734"/>
        <w:gridCol w:w="503"/>
      </w:tblGrid>
      <w:tr>
        <w:tblPrEx>
          <w:tblCellMar>
            <w:top w:w="0" w:type="dxa"/>
            <w:left w:w="108" w:type="dxa"/>
            <w:bottom w:w="0" w:type="dxa"/>
            <w:right w:w="108" w:type="dxa"/>
          </w:tblCellMar>
        </w:tblPrEx>
        <w:trPr>
          <w:trHeight w:val="61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71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5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自评得分项</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w:t>
            </w:r>
          </w:p>
          <w:p>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tblPrEx>
          <w:tblCellMar>
            <w:top w:w="0" w:type="dxa"/>
            <w:left w:w="108" w:type="dxa"/>
            <w:bottom w:w="0" w:type="dxa"/>
            <w:right w:w="108" w:type="dxa"/>
          </w:tblCellMar>
        </w:tblPrEx>
        <w:trPr>
          <w:trHeight w:val="2869" w:hRule="atLeast"/>
          <w:jc w:val="center"/>
        </w:trPr>
        <w:tc>
          <w:tcPr>
            <w:tcW w:w="0" w:type="auto"/>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楷体_GB2312" w:eastAsia="楷体_GB2312" w:cs="宋体"/>
                <w:b w:val="0"/>
                <w:color w:val="000000"/>
                <w:spacing w:val="0"/>
                <w:sz w:val="24"/>
                <w:szCs w:val="24"/>
              </w:rPr>
            </w:pPr>
            <w:r>
              <w:rPr>
                <w:rFonts w:hint="eastAsia" w:ascii="楷体_GB2312" w:eastAsia="楷体_GB2312" w:cs="宋体"/>
                <w:b w:val="0"/>
                <w:color w:val="000000"/>
                <w:spacing w:val="0"/>
                <w:sz w:val="24"/>
                <w:szCs w:val="24"/>
              </w:rPr>
              <w:t>评价项目</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楷体" w:hAnsi="楷体" w:eastAsia="楷体" w:cs="楷体"/>
                <w:b w:val="0"/>
                <w:color w:val="000000"/>
                <w:spacing w:val="0"/>
                <w:sz w:val="20"/>
                <w:szCs w:val="20"/>
              </w:rPr>
            </w:pPr>
            <w:r>
              <w:rPr>
                <w:rFonts w:hint="eastAsia" w:ascii="楷体" w:hAnsi="楷体" w:eastAsia="楷体" w:cs="楷体"/>
                <w:b w:val="0"/>
                <w:color w:val="000000"/>
                <w:spacing w:val="0"/>
                <w:sz w:val="20"/>
                <w:szCs w:val="20"/>
              </w:rPr>
              <w:t>专业层次</w:t>
            </w:r>
          </w:p>
          <w:p>
            <w:pPr>
              <w:widowControl/>
              <w:spacing w:line="240" w:lineRule="exact"/>
              <w:jc w:val="distribute"/>
              <w:rPr>
                <w:rFonts w:hint="eastAsia" w:ascii="楷体" w:hAnsi="楷体" w:eastAsia="楷体" w:cs="楷体"/>
                <w:b w:val="0"/>
                <w:color w:val="000000"/>
                <w:spacing w:val="0"/>
                <w:sz w:val="24"/>
                <w:szCs w:val="24"/>
                <w:lang w:eastAsia="zh-CN"/>
              </w:rPr>
            </w:pPr>
          </w:p>
        </w:tc>
        <w:tc>
          <w:tcPr>
            <w:tcW w:w="7149" w:type="dxa"/>
            <w:tcBorders>
              <w:top w:val="single" w:color="auto" w:sz="4" w:space="0"/>
              <w:left w:val="single" w:color="auto" w:sz="4" w:space="0"/>
              <w:right w:val="single" w:color="auto" w:sz="4" w:space="0"/>
            </w:tcBorders>
            <w:shd w:val="clear" w:color="auto" w:fill="auto"/>
            <w:vAlign w:val="center"/>
          </w:tcPr>
          <w:p>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学历学位俱全的“一流学科”建设高校本科毕业生得40分；</w:t>
            </w:r>
          </w:p>
          <w:p>
            <w:pPr>
              <w:widowControl/>
              <w:rPr>
                <w:rFonts w:hint="eastAsia" w:asciiTheme="majorEastAsia" w:hAnsiTheme="majorEastAsia" w:eastAsiaTheme="majorEastAsia" w:cstheme="majorEastAsia"/>
                <w:b w:val="0"/>
                <w:color w:val="auto"/>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学历学位俱全的硕士研究生（本</w:t>
            </w:r>
            <w:r>
              <w:rPr>
                <w:rFonts w:hint="eastAsia" w:asciiTheme="majorEastAsia" w:hAnsiTheme="majorEastAsia" w:eastAsiaTheme="majorEastAsia" w:cstheme="majorEastAsia"/>
                <w:b w:val="0"/>
                <w:color w:val="auto"/>
                <w:spacing w:val="-4"/>
                <w:sz w:val="16"/>
                <w:szCs w:val="16"/>
                <w:lang w:val="en-US" w:eastAsia="zh-CN"/>
              </w:rPr>
              <w:t>科阶段要求为全日制本科）得45分；</w:t>
            </w:r>
          </w:p>
          <w:p>
            <w:pPr>
              <w:widowControl/>
              <w:rPr>
                <w:rFonts w:hint="eastAsia" w:asciiTheme="majorEastAsia" w:hAnsiTheme="majorEastAsia" w:eastAsiaTheme="majorEastAsia" w:cstheme="majorEastAsia"/>
                <w:b w:val="0"/>
                <w:color w:val="auto"/>
                <w:spacing w:val="-4"/>
                <w:sz w:val="16"/>
                <w:szCs w:val="16"/>
                <w:lang w:val="en-US" w:eastAsia="zh-CN"/>
              </w:rPr>
            </w:pPr>
            <w:r>
              <w:rPr>
                <w:rFonts w:hint="default" w:asciiTheme="majorEastAsia" w:hAnsiTheme="majorEastAsia" w:eastAsiaTheme="majorEastAsia" w:cstheme="majorEastAsia"/>
                <w:b w:val="0"/>
                <w:color w:val="auto"/>
                <w:spacing w:val="-4"/>
                <w:sz w:val="16"/>
                <w:szCs w:val="16"/>
                <w:lang w:val="en-US" w:eastAsia="zh-CN"/>
              </w:rPr>
              <w:t>留学归国的硕士研究生毕业院校限定为</w:t>
            </w:r>
            <w:r>
              <w:rPr>
                <w:rFonts w:hint="eastAsia" w:asciiTheme="majorEastAsia" w:hAnsiTheme="majorEastAsia" w:eastAsiaTheme="majorEastAsia" w:cstheme="majorEastAsia"/>
                <w:b w:val="0"/>
                <w:color w:val="auto"/>
                <w:spacing w:val="-4"/>
                <w:sz w:val="16"/>
                <w:szCs w:val="16"/>
                <w:lang w:val="en-US" w:eastAsia="zh-CN"/>
              </w:rPr>
              <w:t>2024年、2025年度世界大学综合排名前300名院校</w:t>
            </w:r>
            <w:r>
              <w:rPr>
                <w:rFonts w:hint="default" w:asciiTheme="majorEastAsia" w:hAnsiTheme="majorEastAsia" w:eastAsiaTheme="majorEastAsia" w:cstheme="majorEastAsia"/>
                <w:b w:val="0"/>
                <w:color w:val="auto"/>
                <w:spacing w:val="-4"/>
                <w:sz w:val="16"/>
                <w:szCs w:val="16"/>
                <w:lang w:val="en-US" w:eastAsia="zh-CN"/>
              </w:rPr>
              <w:t>，高等教育阶段起始学历须为全日制本科学历（不含专升本、自考、成教等）</w:t>
            </w:r>
            <w:r>
              <w:rPr>
                <w:rFonts w:hint="eastAsia" w:asciiTheme="majorEastAsia" w:hAnsiTheme="majorEastAsia" w:eastAsiaTheme="majorEastAsia" w:cstheme="majorEastAsia"/>
                <w:b w:val="0"/>
                <w:color w:val="auto"/>
                <w:spacing w:val="-4"/>
                <w:sz w:val="16"/>
                <w:szCs w:val="16"/>
                <w:lang w:val="en-US" w:eastAsia="zh-CN"/>
              </w:rPr>
              <w:t>45分；</w:t>
            </w:r>
          </w:p>
          <w:p>
            <w:pPr>
              <w:widowControl/>
              <w:rPr>
                <w:rFonts w:hint="default"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学历学位俱全的“一流大学”或“一流学科”本科毕业生得50分；</w:t>
            </w:r>
          </w:p>
          <w:p>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学历学位俱全的“一流学科”建设高校硕士研究生得50分；</w:t>
            </w:r>
          </w:p>
          <w:p>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学历学位俱全的“一流大学”或“一流学科”硕士研究生得60分；</w:t>
            </w:r>
          </w:p>
          <w:p>
            <w:pPr>
              <w:widowControl/>
              <w:numPr>
                <w:ilvl w:val="0"/>
                <w:numId w:val="0"/>
              </w:numPr>
              <w:rPr>
                <w:rFonts w:hint="default" w:asciiTheme="majorEastAsia" w:hAnsiTheme="majorEastAsia" w:eastAsiaTheme="majorEastAsia" w:cstheme="majorEastAsia"/>
                <w:b w:val="0"/>
                <w:color w:val="000000"/>
                <w:spacing w:val="-4"/>
                <w:sz w:val="18"/>
                <w:szCs w:val="18"/>
                <w:lang w:val="en-US" w:eastAsia="zh-CN"/>
              </w:rPr>
            </w:pPr>
            <w:r>
              <w:rPr>
                <w:rFonts w:hint="eastAsia" w:asciiTheme="majorEastAsia" w:hAnsiTheme="majorEastAsia" w:eastAsiaTheme="majorEastAsia" w:cstheme="majorEastAsia"/>
                <w:b w:val="0"/>
                <w:spacing w:val="-4"/>
                <w:sz w:val="16"/>
                <w:szCs w:val="16"/>
                <w:lang w:val="en-US" w:eastAsia="zh-CN"/>
              </w:rPr>
              <w:t>取得住院医师规范化培训合格证书的非“双一流”院校本科毕业生得35分。</w:t>
            </w:r>
          </w:p>
        </w:tc>
        <w:tc>
          <w:tcPr>
            <w:tcW w:w="527" w:type="dxa"/>
            <w:tcBorders>
              <w:top w:val="nil"/>
              <w:left w:val="single" w:color="auto" w:sz="4" w:space="0"/>
              <w:right w:val="single" w:color="auto" w:sz="4" w:space="0"/>
            </w:tcBorders>
            <w:shd w:val="clear" w:color="auto" w:fill="auto"/>
            <w:vAlign w:val="center"/>
          </w:tcPr>
          <w:p>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60</w:t>
            </w:r>
          </w:p>
        </w:tc>
        <w:tc>
          <w:tcPr>
            <w:tcW w:w="0" w:type="auto"/>
            <w:tcBorders>
              <w:top w:val="nil"/>
              <w:left w:val="nil"/>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r>
      <w:tr>
        <w:tblPrEx>
          <w:tblCellMar>
            <w:top w:w="0" w:type="dxa"/>
            <w:left w:w="108" w:type="dxa"/>
            <w:bottom w:w="0" w:type="dxa"/>
            <w:right w:w="108" w:type="dxa"/>
          </w:tblCellMar>
        </w:tblPrEx>
        <w:trPr>
          <w:trHeight w:val="3280" w:hRule="atLeast"/>
          <w:jc w:val="center"/>
        </w:trPr>
        <w:tc>
          <w:tcPr>
            <w:tcW w:w="0" w:type="auto"/>
            <w:vMerge w:val="continue"/>
            <w:tcBorders>
              <w:left w:val="single" w:color="auto" w:sz="4" w:space="0"/>
              <w:right w:val="single" w:color="auto" w:sz="4" w:space="0"/>
            </w:tcBorders>
            <w:vAlign w:val="center"/>
          </w:tcPr>
          <w:p>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科研成果</w:t>
            </w:r>
          </w:p>
        </w:tc>
        <w:tc>
          <w:tcPr>
            <w:tcW w:w="7149" w:type="dxa"/>
            <w:tcBorders>
              <w:top w:val="single" w:color="auto" w:sz="4" w:space="0"/>
              <w:left w:val="nil"/>
              <w:bottom w:val="single" w:color="auto" w:sz="4" w:space="0"/>
              <w:right w:val="single" w:color="auto" w:sz="4" w:space="0"/>
            </w:tcBorders>
            <w:shd w:val="clear" w:color="auto" w:fill="auto"/>
            <w:vAlign w:val="center"/>
          </w:tcPr>
          <w:p>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1. SCI、SSCI一区检索的本学科学术期刊论文，每篇得15分（第一作者，不含并列第一作者）；</w:t>
            </w:r>
          </w:p>
          <w:p>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2. SCI、SSCI一区检索（并列第一作者）或SCI、SSCI二区检索的本学科学术期刊论文（第一作者，不含并列第一作者），每篇得10分；</w:t>
            </w:r>
          </w:p>
          <w:p>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3. SCI、SSCI二区检索（并列第一作者）或SCI、SSCI三区检索的本学科学术期刊论文（第一作者，不含并列第一作者），每篇得5分；</w:t>
            </w:r>
          </w:p>
          <w:p>
            <w:pPr>
              <w:widowControl/>
              <w:rPr>
                <w:rFonts w:hint="eastAsia" w:asciiTheme="majorEastAsia" w:hAnsiTheme="majorEastAsia" w:eastAsiaTheme="majorEastAsia" w:cstheme="majorEastAsia"/>
                <w:b/>
                <w:bCs/>
                <w:spacing w:val="-4"/>
                <w:sz w:val="16"/>
                <w:szCs w:val="16"/>
              </w:rPr>
            </w:pPr>
            <w:r>
              <w:rPr>
                <w:rFonts w:hint="eastAsia" w:asciiTheme="majorEastAsia" w:hAnsiTheme="majorEastAsia" w:eastAsiaTheme="majorEastAsia" w:cstheme="majorEastAsia"/>
                <w:b w:val="0"/>
                <w:spacing w:val="-4"/>
                <w:sz w:val="16"/>
                <w:szCs w:val="16"/>
              </w:rPr>
              <w:t>4. SCI、SSCI三区检索（并列第一作者）或SCI、SSCI四区检索（第一作者，不含并列第一作者）或EI检索的本学科学术期刊论文（第一作者，不含并列第一作者），每篇得2分。</w:t>
            </w:r>
            <w:r>
              <w:rPr>
                <w:rFonts w:hint="eastAsia" w:asciiTheme="majorEastAsia" w:hAnsiTheme="majorEastAsia" w:eastAsiaTheme="majorEastAsia" w:cstheme="majorEastAsia"/>
                <w:b/>
                <w:bCs/>
                <w:spacing w:val="-4"/>
                <w:sz w:val="16"/>
                <w:szCs w:val="16"/>
              </w:rPr>
              <w:t>SCI、SSCI分区以中科院年度分区为准。</w:t>
            </w:r>
          </w:p>
          <w:p>
            <w:pPr>
              <w:widowControl/>
              <w:numPr>
                <w:ilvl w:val="0"/>
                <w:numId w:val="0"/>
              </w:numPr>
              <w:spacing w:line="120" w:lineRule="auto"/>
              <w:ind w:leftChars="0"/>
              <w:rPr>
                <w:rFonts w:hint="eastAsia"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5.作为第一发明人发表发明专利，每项得10分。</w:t>
            </w:r>
          </w:p>
          <w:p>
            <w:pPr>
              <w:widowControl/>
              <w:numPr>
                <w:ilvl w:val="0"/>
                <w:numId w:val="0"/>
              </w:numPr>
              <w:spacing w:line="120" w:lineRule="auto"/>
              <w:ind w:leftChars="0"/>
              <w:rPr>
                <w:rFonts w:asciiTheme="minorEastAsia" w:hAnsiTheme="minorEastAsia" w:eastAsiaTheme="minorEastAsia" w:cstheme="minorEastAsia"/>
                <w:b w:val="0"/>
                <w:spacing w:val="-4"/>
                <w:sz w:val="18"/>
                <w:szCs w:val="18"/>
              </w:rPr>
            </w:pPr>
            <w:r>
              <w:rPr>
                <w:rFonts w:hint="eastAsia" w:asciiTheme="majorEastAsia" w:hAnsiTheme="majorEastAsia" w:eastAsiaTheme="majorEastAsia" w:cstheme="majorEastAsia"/>
                <w:b w:val="0"/>
                <w:spacing w:val="-4"/>
                <w:sz w:val="16"/>
                <w:szCs w:val="16"/>
                <w:lang w:val="en-US" w:eastAsia="zh-CN"/>
              </w:rPr>
              <w:t>6.</w:t>
            </w:r>
            <w:r>
              <w:rPr>
                <w:rFonts w:hint="eastAsia" w:asciiTheme="majorEastAsia" w:hAnsiTheme="majorEastAsia" w:eastAsiaTheme="majorEastAsia" w:cstheme="majorEastAsia"/>
                <w:b w:val="0"/>
                <w:spacing w:val="-4"/>
                <w:sz w:val="16"/>
                <w:szCs w:val="16"/>
              </w:rPr>
              <w:t>各项累加不超过20分。</w:t>
            </w:r>
          </w:p>
        </w:tc>
        <w:tc>
          <w:tcPr>
            <w:tcW w:w="52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eastAsia="宋体" w:cs="宋体"/>
                <w:b w:val="0"/>
                <w:spacing w:val="0"/>
                <w:sz w:val="24"/>
                <w:szCs w:val="24"/>
                <w:lang w:val="en-US" w:eastAsia="zh-CN"/>
              </w:rPr>
            </w:pPr>
            <w:r>
              <w:rPr>
                <w:rFonts w:hint="eastAsia" w:cs="宋体"/>
                <w:b w:val="0"/>
                <w:spacing w:val="0"/>
                <w:sz w:val="24"/>
                <w:szCs w:val="24"/>
                <w:lang w:val="en-US" w:eastAsia="zh-CN"/>
              </w:rPr>
              <w:t>20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r>
      <w:tr>
        <w:tblPrEx>
          <w:tblCellMar>
            <w:top w:w="0" w:type="dxa"/>
            <w:left w:w="108" w:type="dxa"/>
            <w:bottom w:w="0" w:type="dxa"/>
            <w:right w:w="108" w:type="dxa"/>
          </w:tblCellMar>
        </w:tblPrEx>
        <w:trPr>
          <w:trHeight w:val="1757" w:hRule="atLeast"/>
          <w:jc w:val="center"/>
        </w:trPr>
        <w:tc>
          <w:tcPr>
            <w:tcW w:w="0" w:type="auto"/>
            <w:vMerge w:val="continue"/>
            <w:tcBorders>
              <w:left w:val="single" w:color="auto" w:sz="4" w:space="0"/>
              <w:right w:val="single" w:color="auto" w:sz="4" w:space="0"/>
            </w:tcBorders>
            <w:vAlign w:val="center"/>
          </w:tcPr>
          <w:p>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职业资格</w:t>
            </w:r>
          </w:p>
        </w:tc>
        <w:tc>
          <w:tcPr>
            <w:tcW w:w="7149" w:type="dxa"/>
            <w:tcBorders>
              <w:top w:val="single" w:color="auto" w:sz="4" w:space="0"/>
              <w:left w:val="single" w:color="auto" w:sz="4" w:space="0"/>
              <w:right w:val="single" w:color="auto" w:sz="4" w:space="0"/>
            </w:tcBorders>
            <w:shd w:val="clear" w:color="auto" w:fill="auto"/>
            <w:vAlign w:val="center"/>
          </w:tcPr>
          <w:p>
            <w:pPr>
              <w:widowControl/>
              <w:numPr>
                <w:ilvl w:val="0"/>
                <w:numId w:val="0"/>
              </w:numPr>
              <w:spacing w:line="120" w:lineRule="auto"/>
              <w:rPr>
                <w:rFonts w:hint="eastAsia" w:asciiTheme="majorEastAsia" w:hAnsiTheme="majorEastAsia" w:eastAsiaTheme="majorEastAsia" w:cstheme="majorEastAsia"/>
                <w:b w:val="0"/>
                <w:color w:val="000000"/>
                <w:spacing w:val="0"/>
                <w:sz w:val="16"/>
                <w:szCs w:val="16"/>
                <w:lang w:eastAsia="zh-CN"/>
              </w:rPr>
            </w:pP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取得副高级及以上水平评价类专业技术人员职业资格</w:t>
            </w:r>
            <w:r>
              <w:rPr>
                <w:rFonts w:hint="eastAsia" w:asciiTheme="majorEastAsia" w:hAnsiTheme="majorEastAsia" w:eastAsiaTheme="majorEastAsia" w:cstheme="majorEastAsia"/>
                <w:b w:val="0"/>
                <w:color w:val="000000"/>
                <w:spacing w:val="-4"/>
                <w:sz w:val="16"/>
                <w:szCs w:val="16"/>
              </w:rPr>
              <w:t>的得</w:t>
            </w:r>
            <w:r>
              <w:rPr>
                <w:rFonts w:hint="eastAsia" w:asciiTheme="majorEastAsia" w:hAnsiTheme="majorEastAsia" w:eastAsiaTheme="majorEastAsia" w:cstheme="majorEastAsia"/>
                <w:b w:val="0"/>
                <w:color w:val="000000"/>
                <w:spacing w:val="-4"/>
                <w:sz w:val="16"/>
                <w:szCs w:val="16"/>
                <w:lang w:val="en-US" w:eastAsia="zh-CN"/>
              </w:rPr>
              <w:t>5</w:t>
            </w:r>
            <w:r>
              <w:rPr>
                <w:rFonts w:hint="eastAsia" w:asciiTheme="majorEastAsia" w:hAnsiTheme="majorEastAsia" w:eastAsiaTheme="majorEastAsia" w:cstheme="majorEastAsia"/>
                <w:b w:val="0"/>
                <w:color w:val="000000"/>
                <w:spacing w:val="-4"/>
                <w:sz w:val="16"/>
                <w:szCs w:val="16"/>
              </w:rPr>
              <w:t>分，</w:t>
            </w:r>
            <w:r>
              <w:rPr>
                <w:rFonts w:hint="eastAsia" w:asciiTheme="majorEastAsia" w:hAnsiTheme="majorEastAsia" w:eastAsiaTheme="majorEastAsia" w:cstheme="majorEastAsia"/>
                <w:b w:val="0"/>
                <w:color w:val="000000"/>
                <w:spacing w:val="0"/>
                <w:sz w:val="16"/>
                <w:szCs w:val="16"/>
              </w:rPr>
              <w:t>取得可对应至中级职称的专业技术人员职业资格得</w:t>
            </w:r>
            <w:r>
              <w:rPr>
                <w:rFonts w:hint="eastAsia" w:asciiTheme="majorEastAsia" w:hAnsiTheme="majorEastAsia" w:eastAsiaTheme="majorEastAsia" w:cstheme="majorEastAsia"/>
                <w:b w:val="0"/>
                <w:color w:val="000000"/>
                <w:spacing w:val="0"/>
                <w:sz w:val="16"/>
                <w:szCs w:val="16"/>
                <w:lang w:val="en-US" w:eastAsia="zh-CN"/>
              </w:rPr>
              <w:t>3</w:t>
            </w:r>
            <w:r>
              <w:rPr>
                <w:rFonts w:hint="eastAsia" w:asciiTheme="majorEastAsia" w:hAnsiTheme="majorEastAsia" w:eastAsiaTheme="majorEastAsia" w:cstheme="majorEastAsia"/>
                <w:b w:val="0"/>
                <w:color w:val="000000"/>
                <w:spacing w:val="0"/>
                <w:sz w:val="16"/>
                <w:szCs w:val="16"/>
              </w:rPr>
              <w:t>分，在可按照级别划分的准入类专业技术人员职业资格中取得最高级别职业资格的得5分</w:t>
            </w:r>
            <w:r>
              <w:rPr>
                <w:rFonts w:hint="eastAsia" w:asciiTheme="majorEastAsia" w:hAnsiTheme="majorEastAsia" w:eastAsiaTheme="majorEastAsia" w:cstheme="majorEastAsia"/>
                <w:b w:val="0"/>
                <w:color w:val="000000"/>
                <w:spacing w:val="0"/>
                <w:sz w:val="16"/>
                <w:szCs w:val="16"/>
                <w:lang w:eastAsia="zh-CN"/>
              </w:rPr>
              <w:t>。</w:t>
            </w:r>
          </w:p>
          <w:p>
            <w:pPr>
              <w:widowControl/>
              <w:numPr>
                <w:ilvl w:val="0"/>
                <w:numId w:val="0"/>
              </w:numPr>
              <w:spacing w:line="120" w:lineRule="auto"/>
              <w:ind w:leftChars="0"/>
              <w:rPr>
                <w:rFonts w:hint="default" w:asciiTheme="majorEastAsia" w:hAnsiTheme="majorEastAsia" w:eastAsiaTheme="majorEastAsia" w:cstheme="majorEastAsia"/>
                <w:b w:val="0"/>
                <w:spacing w:val="-4"/>
                <w:sz w:val="18"/>
                <w:szCs w:val="18"/>
                <w:lang w:val="en-US" w:eastAsia="zh-CN"/>
              </w:rPr>
            </w:pPr>
            <w:r>
              <w:rPr>
                <w:rFonts w:hint="eastAsia" w:asciiTheme="majorEastAsia" w:hAnsiTheme="majorEastAsia" w:eastAsiaTheme="majorEastAsia" w:cstheme="majorEastAsia"/>
                <w:b w:val="0"/>
                <w:color w:val="000000"/>
                <w:spacing w:val="-4"/>
                <w:sz w:val="16"/>
                <w:szCs w:val="16"/>
                <w:lang w:val="en-US" w:eastAsia="zh-CN"/>
              </w:rPr>
              <w:t>2.</w:t>
            </w:r>
            <w:r>
              <w:rPr>
                <w:rFonts w:hint="eastAsia" w:asciiTheme="majorEastAsia" w:hAnsiTheme="majorEastAsia" w:eastAsiaTheme="majorEastAsia" w:cstheme="majorEastAsia"/>
                <w:b w:val="0"/>
                <w:color w:val="000000"/>
                <w:spacing w:val="-4"/>
                <w:sz w:val="16"/>
                <w:szCs w:val="16"/>
              </w:rPr>
              <w:t>各项累加不超过</w:t>
            </w:r>
            <w:r>
              <w:rPr>
                <w:rFonts w:hint="eastAsia" w:asciiTheme="majorEastAsia" w:hAnsiTheme="majorEastAsia" w:eastAsiaTheme="majorEastAsia" w:cstheme="majorEastAsia"/>
                <w:b w:val="0"/>
                <w:color w:val="000000"/>
                <w:spacing w:val="-4"/>
                <w:sz w:val="16"/>
                <w:szCs w:val="16"/>
                <w:lang w:val="en-US" w:eastAsia="zh-CN"/>
              </w:rPr>
              <w:t>5</w:t>
            </w:r>
            <w:r>
              <w:rPr>
                <w:rFonts w:hint="eastAsia" w:asciiTheme="majorEastAsia" w:hAnsiTheme="majorEastAsia" w:eastAsiaTheme="majorEastAsia" w:cstheme="majorEastAsia"/>
                <w:b w:val="0"/>
                <w:color w:val="000000"/>
                <w:spacing w:val="-4"/>
                <w:sz w:val="16"/>
                <w:szCs w:val="16"/>
              </w:rPr>
              <w:t>分。</w:t>
            </w:r>
          </w:p>
        </w:tc>
        <w:tc>
          <w:tcPr>
            <w:tcW w:w="527" w:type="dxa"/>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rPr>
            </w:pPr>
            <w:r>
              <w:rPr>
                <w:rFonts w:hint="eastAsia" w:asciiTheme="majorEastAsia" w:hAnsiTheme="majorEastAsia" w:eastAsiaTheme="majorEastAsia" w:cstheme="majorEastAsia"/>
                <w:b w:val="0"/>
                <w:color w:val="000000"/>
                <w:spacing w:val="0"/>
                <w:sz w:val="24"/>
                <w:szCs w:val="24"/>
                <w:lang w:val="en-US" w:eastAsia="zh-CN"/>
              </w:rPr>
              <w:t>5</w:t>
            </w:r>
          </w:p>
        </w:tc>
        <w:tc>
          <w:tcPr>
            <w:tcW w:w="0" w:type="auto"/>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r>
      <w:tr>
        <w:tblPrEx>
          <w:tblCellMar>
            <w:top w:w="0" w:type="dxa"/>
            <w:left w:w="108" w:type="dxa"/>
            <w:bottom w:w="0" w:type="dxa"/>
            <w:right w:w="108" w:type="dxa"/>
          </w:tblCellMar>
        </w:tblPrEx>
        <w:trPr>
          <w:trHeight w:val="912" w:hRule="atLeast"/>
          <w:jc w:val="center"/>
        </w:trPr>
        <w:tc>
          <w:tcPr>
            <w:tcW w:w="0" w:type="auto"/>
            <w:vMerge w:val="continue"/>
            <w:tcBorders>
              <w:left w:val="single" w:color="auto" w:sz="4" w:space="0"/>
              <w:right w:val="single" w:color="auto" w:sz="4" w:space="0"/>
            </w:tcBorders>
            <w:vAlign w:val="center"/>
          </w:tcPr>
          <w:p>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default"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0"/>
                <w:szCs w:val="20"/>
              </w:rPr>
              <w:t>专业技术职称</w:t>
            </w:r>
          </w:p>
        </w:tc>
        <w:tc>
          <w:tcPr>
            <w:tcW w:w="7149" w:type="dxa"/>
            <w:tcBorders>
              <w:top w:val="single" w:color="auto" w:sz="4" w:space="0"/>
              <w:left w:val="single" w:color="auto" w:sz="4" w:space="0"/>
              <w:right w:val="single" w:color="auto" w:sz="4" w:space="0"/>
            </w:tcBorders>
            <w:shd w:val="clear" w:color="auto" w:fill="auto"/>
            <w:vAlign w:val="center"/>
          </w:tcPr>
          <w:p>
            <w:pPr>
              <w:widowControl/>
              <w:spacing w:line="120" w:lineRule="auto"/>
              <w:rPr>
                <w:rFonts w:hint="default" w:asciiTheme="majorEastAsia" w:hAnsiTheme="majorEastAsia" w:eastAsiaTheme="majorEastAsia" w:cstheme="majorEastAsia"/>
                <w:b w:val="0"/>
                <w:spacing w:val="-4"/>
                <w:sz w:val="18"/>
                <w:szCs w:val="18"/>
                <w:lang w:val="en-US" w:eastAsia="zh-CN"/>
              </w:rPr>
            </w:pPr>
            <w:r>
              <w:rPr>
                <w:rFonts w:hint="eastAsia" w:asciiTheme="majorEastAsia" w:hAnsiTheme="majorEastAsia" w:eastAsiaTheme="majorEastAsia" w:cstheme="majorEastAsia"/>
                <w:b w:val="0"/>
                <w:color w:val="000000"/>
                <w:spacing w:val="0"/>
                <w:sz w:val="16"/>
                <w:szCs w:val="16"/>
              </w:rPr>
              <w:t>正高级职称得5分，副高级得3分，中级得2分，初级得1分。按所取得最高级职称计算，不累加计算。</w:t>
            </w:r>
          </w:p>
        </w:tc>
        <w:tc>
          <w:tcPr>
            <w:tcW w:w="527" w:type="dxa"/>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lang w:val="en-US" w:eastAsia="zh-CN"/>
              </w:rPr>
              <w:t>5</w:t>
            </w:r>
          </w:p>
        </w:tc>
        <w:tc>
          <w:tcPr>
            <w:tcW w:w="0" w:type="auto"/>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r>
      <w:tr>
        <w:tblPrEx>
          <w:tblCellMar>
            <w:top w:w="0" w:type="dxa"/>
            <w:left w:w="108" w:type="dxa"/>
            <w:bottom w:w="0" w:type="dxa"/>
            <w:right w:w="108" w:type="dxa"/>
          </w:tblCellMar>
        </w:tblPrEx>
        <w:trPr>
          <w:trHeight w:val="926" w:hRule="atLeast"/>
          <w:jc w:val="center"/>
        </w:trPr>
        <w:tc>
          <w:tcPr>
            <w:tcW w:w="0" w:type="auto"/>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获得奖项</w:t>
            </w:r>
          </w:p>
        </w:tc>
        <w:tc>
          <w:tcPr>
            <w:tcW w:w="7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b w:val="0"/>
                <w:color w:val="000000"/>
                <w:spacing w:val="0"/>
                <w:sz w:val="16"/>
                <w:szCs w:val="16"/>
              </w:rPr>
            </w:pP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获得国家级荣誉者每项得</w:t>
            </w:r>
            <w:r>
              <w:rPr>
                <w:rFonts w:hint="eastAsia" w:asciiTheme="majorEastAsia" w:hAnsiTheme="majorEastAsia" w:eastAsiaTheme="majorEastAsia" w:cstheme="majorEastAsia"/>
                <w:b w:val="0"/>
                <w:color w:val="000000"/>
                <w:spacing w:val="0"/>
                <w:sz w:val="16"/>
                <w:szCs w:val="16"/>
                <w:lang w:val="en-US" w:eastAsia="zh-CN"/>
              </w:rPr>
              <w:t>10</w:t>
            </w:r>
            <w:r>
              <w:rPr>
                <w:rFonts w:hint="eastAsia" w:asciiTheme="majorEastAsia" w:hAnsiTheme="majorEastAsia" w:eastAsiaTheme="majorEastAsia" w:cstheme="majorEastAsia"/>
                <w:b w:val="0"/>
                <w:color w:val="000000"/>
                <w:spacing w:val="0"/>
                <w:sz w:val="16"/>
                <w:szCs w:val="16"/>
              </w:rPr>
              <w:t>分；获得国家部委和省级荣誉者每项得</w:t>
            </w:r>
            <w:r>
              <w:rPr>
                <w:rFonts w:hint="eastAsia" w:asciiTheme="majorEastAsia" w:hAnsiTheme="majorEastAsia" w:eastAsiaTheme="majorEastAsia" w:cstheme="majorEastAsia"/>
                <w:b w:val="0"/>
                <w:color w:val="000000"/>
                <w:spacing w:val="0"/>
                <w:sz w:val="16"/>
                <w:szCs w:val="16"/>
                <w:lang w:val="en-US" w:eastAsia="zh-CN"/>
              </w:rPr>
              <w:t>5</w:t>
            </w:r>
            <w:r>
              <w:rPr>
                <w:rFonts w:hint="eastAsia" w:asciiTheme="majorEastAsia" w:hAnsiTheme="majorEastAsia" w:eastAsiaTheme="majorEastAsia" w:cstheme="majorEastAsia"/>
                <w:b w:val="0"/>
                <w:color w:val="000000"/>
                <w:spacing w:val="0"/>
                <w:sz w:val="16"/>
                <w:szCs w:val="16"/>
              </w:rPr>
              <w:t>分；获得市级荣誉者每项得</w:t>
            </w:r>
            <w:r>
              <w:rPr>
                <w:rFonts w:hint="eastAsia" w:asciiTheme="majorEastAsia" w:hAnsiTheme="majorEastAsia" w:eastAsiaTheme="majorEastAsia" w:cstheme="majorEastAsia"/>
                <w:b w:val="0"/>
                <w:color w:val="000000"/>
                <w:spacing w:val="0"/>
                <w:sz w:val="16"/>
                <w:szCs w:val="16"/>
                <w:lang w:val="en-US" w:eastAsia="zh-CN"/>
              </w:rPr>
              <w:t>3</w:t>
            </w:r>
            <w:r>
              <w:rPr>
                <w:rFonts w:hint="eastAsia" w:asciiTheme="majorEastAsia" w:hAnsiTheme="majorEastAsia" w:eastAsiaTheme="majorEastAsia" w:cstheme="majorEastAsia"/>
                <w:b w:val="0"/>
                <w:color w:val="000000"/>
                <w:spacing w:val="0"/>
                <w:sz w:val="16"/>
                <w:szCs w:val="16"/>
              </w:rPr>
              <w:t>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b w:val="0"/>
                <w:color w:val="000000"/>
                <w:spacing w:val="0"/>
                <w:sz w:val="18"/>
                <w:szCs w:val="18"/>
              </w:rPr>
            </w:pPr>
            <w:r>
              <w:rPr>
                <w:rFonts w:hint="eastAsia" w:asciiTheme="majorEastAsia" w:hAnsiTheme="majorEastAsia" w:eastAsiaTheme="majorEastAsia" w:cstheme="majorEastAsia"/>
                <w:b w:val="0"/>
                <w:color w:val="000000"/>
                <w:spacing w:val="0"/>
                <w:sz w:val="16"/>
                <w:szCs w:val="16"/>
                <w:lang w:val="en-US" w:eastAsia="zh-CN"/>
              </w:rPr>
              <w:t>2.</w:t>
            </w:r>
            <w:r>
              <w:rPr>
                <w:rFonts w:hint="eastAsia" w:asciiTheme="majorEastAsia" w:hAnsiTheme="majorEastAsia" w:eastAsiaTheme="majorEastAsia" w:cstheme="majorEastAsia"/>
                <w:b w:val="0"/>
                <w:color w:val="000000"/>
                <w:spacing w:val="0"/>
                <w:sz w:val="16"/>
                <w:szCs w:val="16"/>
              </w:rPr>
              <w:t>各项累加不超过</w:t>
            </w:r>
            <w:r>
              <w:rPr>
                <w:rFonts w:hint="eastAsia" w:asciiTheme="majorEastAsia" w:hAnsiTheme="majorEastAsia" w:eastAsiaTheme="majorEastAsia" w:cstheme="majorEastAsia"/>
                <w:b w:val="0"/>
                <w:color w:val="000000"/>
                <w:spacing w:val="0"/>
                <w:sz w:val="16"/>
                <w:szCs w:val="16"/>
                <w:lang w:val="en-US" w:eastAsia="zh-CN"/>
              </w:rPr>
              <w:t>10</w:t>
            </w:r>
            <w:r>
              <w:rPr>
                <w:rFonts w:hint="eastAsia" w:asciiTheme="majorEastAsia" w:hAnsiTheme="majorEastAsia" w:eastAsiaTheme="majorEastAsia" w:cstheme="majorEastAsia"/>
                <w:b w:val="0"/>
                <w:color w:val="000000"/>
                <w:spacing w:val="0"/>
                <w:sz w:val="16"/>
                <w:szCs w:val="16"/>
              </w:rPr>
              <w:t>分。</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b w:val="0"/>
                <w:color w:val="FF0000"/>
                <w:spacing w:val="0"/>
                <w:sz w:val="21"/>
                <w:szCs w:val="21"/>
              </w:rPr>
            </w:pPr>
          </w:p>
        </w:tc>
      </w:tr>
    </w:tbl>
    <w:p>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rPr>
      </w:pPr>
      <w:r>
        <w:rPr>
          <w:rFonts w:hint="eastAsia" w:ascii="仿宋_GB2312" w:eastAsia="仿宋"/>
          <w:b/>
          <w:bCs/>
          <w:sz w:val="21"/>
          <w:szCs w:val="21"/>
          <w:lang w:eastAsia="zh-CN"/>
        </w:rPr>
        <w:t>身份证号码：</w:t>
      </w:r>
      <w:r>
        <w:rPr>
          <w:rFonts w:hint="eastAsia" w:ascii="仿宋_GB2312" w:eastAsia="仿宋"/>
          <w:b/>
          <w:bCs/>
          <w:sz w:val="21"/>
          <w:szCs w:val="21"/>
          <w:lang w:val="en-US" w:eastAsia="zh-CN"/>
        </w:rPr>
        <w:t xml:space="preserve">                                      本人签字：                                   年    月    日</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lang w:val="en-US"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lang w:val="en-US" w:eastAsia="zh-CN"/>
        </w:rPr>
      </w:pPr>
      <w:r>
        <w:rPr>
          <w:rFonts w:hint="eastAsia" w:ascii="仿宋_GB2312" w:eastAsia="仿宋"/>
          <w:b/>
          <w:bCs/>
          <w:sz w:val="21"/>
          <w:szCs w:val="21"/>
          <w:lang w:val="en-US" w:eastAsia="zh-CN"/>
        </w:rPr>
        <w:t>审核人签字：</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lang w:val="en-US" w:eastAsia="zh-CN"/>
        </w:rPr>
      </w:pPr>
    </w:p>
    <w:p>
      <w:pPr>
        <w:spacing w:line="600" w:lineRule="exact"/>
        <w:jc w:val="center"/>
        <w:rPr>
          <w:rFonts w:hint="eastAsia" w:ascii="微软雅黑" w:hAnsi="黑体" w:eastAsia="微软雅黑"/>
          <w:b w:val="0"/>
          <w:bCs/>
          <w:sz w:val="44"/>
          <w:szCs w:val="44"/>
        </w:rPr>
      </w:pPr>
      <w:r>
        <w:rPr>
          <w:rFonts w:hint="eastAsia" w:ascii="微软雅黑" w:hAnsi="黑体" w:eastAsia="微软雅黑"/>
          <w:b w:val="0"/>
          <w:bCs/>
          <w:sz w:val="44"/>
          <w:szCs w:val="44"/>
          <w:lang w:val="en-US" w:eastAsia="zh-CN"/>
        </w:rPr>
        <w:t>霍林郭勒市</w:t>
      </w:r>
      <w:r>
        <w:rPr>
          <w:rFonts w:hint="eastAsia" w:ascii="微软雅黑" w:hAnsi="黑体" w:eastAsia="微软雅黑"/>
          <w:b w:val="0"/>
          <w:bCs/>
          <w:sz w:val="44"/>
          <w:szCs w:val="44"/>
          <w:lang w:eastAsia="zh-CN"/>
        </w:rPr>
        <w:t>事业单位</w:t>
      </w:r>
      <w:r>
        <w:rPr>
          <w:rFonts w:hint="eastAsia" w:ascii="微软雅黑" w:hAnsi="黑体" w:eastAsia="微软雅黑"/>
          <w:b w:val="0"/>
          <w:bCs/>
          <w:sz w:val="44"/>
          <w:szCs w:val="44"/>
        </w:rPr>
        <w:t>人才引进</w:t>
      </w:r>
    </w:p>
    <w:p>
      <w:pPr>
        <w:spacing w:line="600" w:lineRule="exact"/>
        <w:jc w:val="center"/>
        <w:rPr>
          <w:rFonts w:ascii="微软雅黑" w:hAnsi="黑体" w:eastAsia="微软雅黑"/>
          <w:b w:val="0"/>
          <w:bCs/>
          <w:sz w:val="44"/>
          <w:szCs w:val="44"/>
        </w:rPr>
      </w:pPr>
      <w:r>
        <w:rPr>
          <w:rFonts w:hint="eastAsia" w:ascii="微软雅黑" w:hAnsi="黑体" w:eastAsia="微软雅黑"/>
          <w:b w:val="0"/>
          <w:bCs/>
          <w:sz w:val="44"/>
          <w:szCs w:val="44"/>
        </w:rPr>
        <w:t>评价表填报说明</w:t>
      </w:r>
    </w:p>
    <w:p>
      <w:pPr>
        <w:spacing w:line="560" w:lineRule="exact"/>
        <w:ind w:firstLine="600" w:firstLineChars="200"/>
        <w:rPr>
          <w:rFonts w:ascii="黑体" w:hAnsi="黑体" w:eastAsia="黑体" w:cs="黑体"/>
          <w:b w:val="0"/>
          <w:bCs/>
          <w:sz w:val="32"/>
          <w:szCs w:val="32"/>
        </w:rPr>
      </w:pPr>
    </w:p>
    <w:p>
      <w:pPr>
        <w:spacing w:line="560" w:lineRule="exact"/>
        <w:ind w:firstLine="600" w:firstLineChars="200"/>
        <w:rPr>
          <w:rFonts w:ascii="黑体" w:hAnsi="黑体" w:eastAsia="黑体" w:cs="黑体"/>
          <w:b w:val="0"/>
          <w:bCs/>
          <w:sz w:val="32"/>
          <w:szCs w:val="32"/>
        </w:rPr>
      </w:pPr>
      <w:r>
        <w:rPr>
          <w:rFonts w:ascii="黑体" w:hAnsi="黑体" w:eastAsia="黑体" w:cs="黑体"/>
          <w:b w:val="0"/>
          <w:bCs/>
          <w:sz w:val="32"/>
          <w:szCs w:val="32"/>
        </w:rPr>
        <w:t>一、专业层次方面</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（一</w:t>
      </w:r>
      <w:r>
        <w:rPr>
          <w:rFonts w:hint="eastAsia" w:ascii="Times New Roman" w:hAnsi="Times New Roman" w:eastAsia="方正仿宋_GB2312" w:cs="Times New Roman"/>
          <w:b w:val="0"/>
          <w:bCs/>
          <w:sz w:val="32"/>
          <w:szCs w:val="32"/>
          <w:lang w:eastAsia="zh-CN"/>
        </w:rPr>
        <w:t>）</w:t>
      </w:r>
      <w:r>
        <w:rPr>
          <w:rFonts w:hint="eastAsia" w:ascii="Times New Roman" w:hAnsi="Times New Roman" w:eastAsia="方正仿宋_GB2312" w:cs="Times New Roman"/>
          <w:b w:val="0"/>
          <w:bCs/>
          <w:sz w:val="32"/>
          <w:szCs w:val="32"/>
          <w:lang w:val="en-US" w:eastAsia="zh-CN"/>
        </w:rPr>
        <w:t>一流</w:t>
      </w:r>
      <w:r>
        <w:rPr>
          <w:rFonts w:ascii="Times New Roman" w:hAnsi="Times New Roman" w:eastAsia="方正仿宋_GB2312" w:cs="Times New Roman"/>
          <w:b w:val="0"/>
          <w:bCs/>
          <w:sz w:val="32"/>
          <w:szCs w:val="32"/>
        </w:rPr>
        <w:t>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（二）在一流学科认定上，所学专业须属该学科内专业。</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（三）海外学历学校排名以202</w:t>
      </w:r>
      <w:r>
        <w:rPr>
          <w:rFonts w:hint="eastAsia" w:ascii="Times New Roman" w:hAnsi="Times New Roman" w:eastAsia="方正仿宋_GB2312" w:cs="Times New Roman"/>
          <w:b w:val="0"/>
          <w:bCs/>
          <w:sz w:val="32"/>
          <w:szCs w:val="32"/>
          <w:lang w:val="en-US" w:eastAsia="zh-CN"/>
        </w:rPr>
        <w:t>4</w:t>
      </w:r>
      <w:r>
        <w:rPr>
          <w:rFonts w:ascii="Times New Roman" w:hAnsi="Times New Roman" w:eastAsia="方正仿宋_GB2312" w:cs="Times New Roman"/>
          <w:b w:val="0"/>
          <w:bCs/>
          <w:sz w:val="32"/>
          <w:szCs w:val="32"/>
        </w:rPr>
        <w:t>、202</w:t>
      </w:r>
      <w:r>
        <w:rPr>
          <w:rFonts w:hint="eastAsia" w:ascii="Times New Roman" w:hAnsi="Times New Roman" w:eastAsia="方正仿宋_GB2312" w:cs="Times New Roman"/>
          <w:b w:val="0"/>
          <w:bCs/>
          <w:sz w:val="32"/>
          <w:szCs w:val="32"/>
          <w:lang w:val="en-US" w:eastAsia="zh-CN"/>
        </w:rPr>
        <w:t>5</w:t>
      </w:r>
      <w:r>
        <w:rPr>
          <w:rFonts w:ascii="Times New Roman" w:hAnsi="Times New Roman" w:eastAsia="方正仿宋_GB2312" w:cs="Times New Roman"/>
          <w:b w:val="0"/>
          <w:bCs/>
          <w:sz w:val="32"/>
          <w:szCs w:val="32"/>
        </w:rPr>
        <w:t>年度世界综合排名（《QS世界大学排名》、上海软科世界大学排名、泰晤士报《全球顶尖大学排行榜》、U.S.News《全球最佳大学排行榜》之一）为准。</w:t>
      </w:r>
    </w:p>
    <w:p>
      <w:pPr>
        <w:spacing w:line="560" w:lineRule="exact"/>
        <w:ind w:firstLine="600" w:firstLineChars="200"/>
        <w:rPr>
          <w:rFonts w:ascii="黑体" w:hAnsi="黑体" w:eastAsia="黑体" w:cs="黑体"/>
          <w:b w:val="0"/>
          <w:bCs/>
          <w:sz w:val="32"/>
          <w:szCs w:val="32"/>
        </w:rPr>
      </w:pPr>
      <w:r>
        <w:rPr>
          <w:rFonts w:ascii="黑体" w:hAnsi="黑体" w:eastAsia="黑体" w:cs="黑体"/>
          <w:b w:val="0"/>
          <w:bCs/>
          <w:sz w:val="32"/>
          <w:szCs w:val="32"/>
        </w:rPr>
        <w:t>二、科研成果方面</w:t>
      </w:r>
    </w:p>
    <w:p>
      <w:pPr>
        <w:spacing w:line="560" w:lineRule="exact"/>
        <w:ind w:firstLine="600" w:firstLineChars="200"/>
        <w:rPr>
          <w:rFonts w:ascii="Times New Roman" w:hAnsi="Times New Roman" w:eastAsia="方正仿宋_GB2312" w:cs="Times New Roman"/>
          <w:b w:val="0"/>
          <w:bCs/>
          <w:sz w:val="32"/>
          <w:szCs w:val="32"/>
        </w:rPr>
      </w:pPr>
      <w:r>
        <w:rPr>
          <w:rFonts w:hint="eastAsia" w:ascii="Times New Roman" w:hAnsi="Times New Roman" w:eastAsia="方正仿宋_GB2312" w:cs="Times New Roman"/>
          <w:b w:val="0"/>
          <w:bCs/>
          <w:sz w:val="32"/>
          <w:szCs w:val="32"/>
        </w:rPr>
        <w:t>论文</w:t>
      </w:r>
      <w:r>
        <w:rPr>
          <w:rFonts w:ascii="Times New Roman" w:hAnsi="Times New Roman" w:eastAsia="方正仿宋_GB2312" w:cs="Times New Roman"/>
          <w:b w:val="0"/>
          <w:bCs/>
          <w:sz w:val="32"/>
          <w:szCs w:val="32"/>
        </w:rPr>
        <w:t>需提供检索报告、扫描文本</w:t>
      </w:r>
      <w:r>
        <w:rPr>
          <w:rFonts w:hint="eastAsia" w:ascii="Times New Roman" w:hAnsi="Times New Roman" w:eastAsia="方正仿宋_GB2312" w:cs="Times New Roman"/>
          <w:b w:val="0"/>
          <w:bCs/>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cs="Times New Roman"/>
          <w:b w:val="0"/>
          <w:bCs/>
          <w:sz w:val="32"/>
          <w:szCs w:val="32"/>
        </w:rPr>
        <w:t>作品文件、专利证书等材料，实用新型、外观设计专利不得分。</w:t>
      </w:r>
    </w:p>
    <w:p>
      <w:pPr>
        <w:spacing w:line="56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三、职业资格方面</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（一）需提供职业资格证原件及复印件，并可在职业技能证书全国联网查询系统中查询。</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（二）可按照级别划分的准入类专业技术人员职业资格，如：取得法律职业资格A证得5分。</w:t>
      </w:r>
    </w:p>
    <w:p>
      <w:pPr>
        <w:spacing w:line="54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（三）关于专业技术人员职业资格及职业资格与职称对应关系认定以《国家职业资格目录》及内蒙古自治区人社厅《2020年关于更新公布专业技术类职业资格与职称对应关系表的说明》为准。</w:t>
      </w:r>
    </w:p>
    <w:p>
      <w:pPr>
        <w:spacing w:line="54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pPr>
        <w:spacing w:line="56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四、专业技术职称方面</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（一）要求为社会化专业技术职称。</w:t>
      </w:r>
    </w:p>
    <w:p>
      <w:pPr>
        <w:spacing w:line="560" w:lineRule="exact"/>
        <w:ind w:firstLine="600" w:firstLineChars="200"/>
        <w:rPr>
          <w:rFonts w:ascii="黑体" w:hAnsi="黑体" w:eastAsia="黑体" w:cs="黑体"/>
          <w:b w:val="0"/>
          <w:bCs/>
          <w:sz w:val="32"/>
          <w:szCs w:val="32"/>
        </w:rPr>
      </w:pPr>
      <w:r>
        <w:rPr>
          <w:rFonts w:ascii="Times New Roman" w:hAnsi="Times New Roman" w:eastAsia="方正仿宋_GB2312" w:cs="Times New Roman"/>
          <w:b w:val="0"/>
          <w:bCs/>
          <w:sz w:val="32"/>
          <w:szCs w:val="32"/>
        </w:rPr>
        <w:t>（二）需提供职称证，并可在相应查询系统中查询。</w:t>
      </w:r>
    </w:p>
    <w:p>
      <w:pPr>
        <w:spacing w:line="54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五、获得奖项方面</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w:t>
      </w:r>
      <w:r>
        <w:rPr>
          <w:rFonts w:hint="eastAsia" w:ascii="Times New Roman" w:hAnsi="Times New Roman" w:eastAsia="方正仿宋_GB2312" w:cs="Times New Roman"/>
          <w:b w:val="0"/>
          <w:bCs/>
          <w:sz w:val="32"/>
          <w:szCs w:val="32"/>
          <w:lang w:eastAsia="zh-CN"/>
        </w:rPr>
        <w:t>地</w:t>
      </w:r>
      <w:r>
        <w:rPr>
          <w:rFonts w:ascii="Times New Roman" w:hAnsi="Times New Roman" w:eastAsia="方正仿宋_GB2312" w:cs="Times New Roman"/>
          <w:b w:val="0"/>
          <w:bCs/>
          <w:sz w:val="32"/>
          <w:szCs w:val="32"/>
        </w:rPr>
        <w:t xml:space="preserve">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（二）学校授予的荣誉不计算得分</w:t>
      </w:r>
      <w:r>
        <w:rPr>
          <w:rFonts w:hint="eastAsia" w:ascii="Times New Roman" w:hAnsi="Times New Roman" w:eastAsia="方正仿宋_GB2312" w:cs="Times New Roman"/>
          <w:b w:val="0"/>
          <w:bCs/>
          <w:sz w:val="32"/>
          <w:szCs w:val="32"/>
        </w:rPr>
        <w:t>，在校期间获得的各类奖学金不计算得分。</w:t>
      </w:r>
    </w:p>
    <w:p>
      <w:pPr>
        <w:spacing w:line="560" w:lineRule="exact"/>
        <w:ind w:firstLine="600" w:firstLineChars="200"/>
        <w:rPr>
          <w:rFonts w:ascii="Times New Roman" w:hAnsi="Times New Roman" w:eastAsia="方正仿宋_GB2312" w:cs="Times New Roman"/>
          <w:b w:val="0"/>
          <w:bCs/>
          <w:sz w:val="32"/>
          <w:szCs w:val="32"/>
        </w:rPr>
      </w:pPr>
      <w:r>
        <w:rPr>
          <w:rFonts w:ascii="Times New Roman" w:hAnsi="Times New Roman" w:eastAsia="方正仿宋_GB2312" w:cs="Times New Roman"/>
          <w:b w:val="0"/>
          <w:bCs/>
          <w:sz w:val="32"/>
          <w:szCs w:val="32"/>
        </w:rPr>
        <w:t>（三）各类协会、社会组织、组委会发放证书的不加分。</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val="0"/>
          <w:bCs/>
          <w:sz w:val="21"/>
          <w:szCs w:val="21"/>
          <w:lang w:val="en-US" w:eastAsia="zh-CN"/>
        </w:rPr>
      </w:pPr>
    </w:p>
    <w:p>
      <w:pPr>
        <w:spacing w:line="540" w:lineRule="exact"/>
        <w:ind w:firstLine="60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其他</w:t>
      </w:r>
    </w:p>
    <w:p>
      <w:pPr>
        <w:spacing w:line="560" w:lineRule="exact"/>
        <w:ind w:firstLine="600" w:firstLineChars="200"/>
        <w:rPr>
          <w:rFonts w:hint="eastAsia"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1.特殊人才: SCI、SSCI一区检索超过2篇（含）、二区检索超过3篇（含）、三区检索超过5篇（含）者，人才评价按满分计算（100分），须为第一作者，不含并列第一作者。</w:t>
      </w:r>
    </w:p>
    <w:p>
      <w:pPr>
        <w:spacing w:line="560" w:lineRule="exact"/>
        <w:ind w:firstLine="600" w:firstLineChars="200"/>
        <w:rPr>
          <w:rFonts w:hint="eastAsia"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2.获得国家级荣誉3项（含）以上者，人才评价按满分计算（100分）。</w:t>
      </w:r>
    </w:p>
    <w:p>
      <w:pPr>
        <w:spacing w:line="560" w:lineRule="exact"/>
        <w:ind w:firstLine="600" w:firstLineChars="200"/>
        <w:rPr>
          <w:rFonts w:hint="eastAsia"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3.符合条件的博士研究生报名直接进入体检、考察环节。</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lang w:val="en-US" w:eastAsia="zh-CN"/>
        </w:rPr>
      </w:pPr>
    </w:p>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TU5YWQ5NmMwNDQ1NmYzY2VhMzc3NjMxNWI2YTcifQ=="/>
  </w:docVars>
  <w:rsids>
    <w:rsidRoot w:val="464025A8"/>
    <w:rsid w:val="003357D8"/>
    <w:rsid w:val="036C46DD"/>
    <w:rsid w:val="03FB660C"/>
    <w:rsid w:val="072B07F8"/>
    <w:rsid w:val="077C0992"/>
    <w:rsid w:val="07DF5D77"/>
    <w:rsid w:val="08AF4730"/>
    <w:rsid w:val="08F5187C"/>
    <w:rsid w:val="092B6B72"/>
    <w:rsid w:val="0B57681E"/>
    <w:rsid w:val="0BDA11FD"/>
    <w:rsid w:val="0C353F27"/>
    <w:rsid w:val="0C637E48"/>
    <w:rsid w:val="0E902987"/>
    <w:rsid w:val="12157C38"/>
    <w:rsid w:val="12397985"/>
    <w:rsid w:val="126A28E6"/>
    <w:rsid w:val="128F377D"/>
    <w:rsid w:val="148461AA"/>
    <w:rsid w:val="16675E44"/>
    <w:rsid w:val="180E0AE8"/>
    <w:rsid w:val="18A961DF"/>
    <w:rsid w:val="1A3472F1"/>
    <w:rsid w:val="1A8C739D"/>
    <w:rsid w:val="1E103821"/>
    <w:rsid w:val="1FDF3FD0"/>
    <w:rsid w:val="20B804FA"/>
    <w:rsid w:val="21ED1832"/>
    <w:rsid w:val="22DF1DC6"/>
    <w:rsid w:val="24636B05"/>
    <w:rsid w:val="26467763"/>
    <w:rsid w:val="27AE3812"/>
    <w:rsid w:val="2A397F0C"/>
    <w:rsid w:val="2AFE2018"/>
    <w:rsid w:val="2B342280"/>
    <w:rsid w:val="2D8C63A3"/>
    <w:rsid w:val="305D68FB"/>
    <w:rsid w:val="31393666"/>
    <w:rsid w:val="3340656A"/>
    <w:rsid w:val="33B7010D"/>
    <w:rsid w:val="33FE791C"/>
    <w:rsid w:val="3538296D"/>
    <w:rsid w:val="35643762"/>
    <w:rsid w:val="35EF5721"/>
    <w:rsid w:val="36211653"/>
    <w:rsid w:val="36AC716F"/>
    <w:rsid w:val="36CF7301"/>
    <w:rsid w:val="36F07826"/>
    <w:rsid w:val="372129BA"/>
    <w:rsid w:val="37D76574"/>
    <w:rsid w:val="395B509B"/>
    <w:rsid w:val="3ACF5B21"/>
    <w:rsid w:val="3B7F30A4"/>
    <w:rsid w:val="3CAE211E"/>
    <w:rsid w:val="3CDF6510"/>
    <w:rsid w:val="3CE15365"/>
    <w:rsid w:val="3E622809"/>
    <w:rsid w:val="42081788"/>
    <w:rsid w:val="45D67D64"/>
    <w:rsid w:val="45EE1552"/>
    <w:rsid w:val="464025A8"/>
    <w:rsid w:val="46D33015"/>
    <w:rsid w:val="47C05C47"/>
    <w:rsid w:val="499D44A3"/>
    <w:rsid w:val="4AB54B17"/>
    <w:rsid w:val="4AF45637"/>
    <w:rsid w:val="4CA801AB"/>
    <w:rsid w:val="4E16224E"/>
    <w:rsid w:val="4E437F61"/>
    <w:rsid w:val="4FC275AB"/>
    <w:rsid w:val="4FFA0AF3"/>
    <w:rsid w:val="517D19DC"/>
    <w:rsid w:val="54F47C8D"/>
    <w:rsid w:val="54FF095A"/>
    <w:rsid w:val="565F7902"/>
    <w:rsid w:val="57BD2205"/>
    <w:rsid w:val="5809221B"/>
    <w:rsid w:val="584A3D01"/>
    <w:rsid w:val="58F85729"/>
    <w:rsid w:val="59D61361"/>
    <w:rsid w:val="5A960771"/>
    <w:rsid w:val="5B6426C5"/>
    <w:rsid w:val="5CC46711"/>
    <w:rsid w:val="5CED3EB9"/>
    <w:rsid w:val="5D1C1DBA"/>
    <w:rsid w:val="5DF31AB3"/>
    <w:rsid w:val="5E421FE3"/>
    <w:rsid w:val="5E9A1E1F"/>
    <w:rsid w:val="5ED85CC4"/>
    <w:rsid w:val="5EDAEB65"/>
    <w:rsid w:val="5F1F77C8"/>
    <w:rsid w:val="5F761860"/>
    <w:rsid w:val="60480E48"/>
    <w:rsid w:val="613C540F"/>
    <w:rsid w:val="61F26C21"/>
    <w:rsid w:val="622B2AF0"/>
    <w:rsid w:val="635A7DCF"/>
    <w:rsid w:val="639530AB"/>
    <w:rsid w:val="64A05CB5"/>
    <w:rsid w:val="65E8460B"/>
    <w:rsid w:val="68DD68DF"/>
    <w:rsid w:val="6942558D"/>
    <w:rsid w:val="69BD6B97"/>
    <w:rsid w:val="6E865F1C"/>
    <w:rsid w:val="6EAC488C"/>
    <w:rsid w:val="6EBC193D"/>
    <w:rsid w:val="6F235519"/>
    <w:rsid w:val="6F9B1553"/>
    <w:rsid w:val="6FEF98D8"/>
    <w:rsid w:val="705D5574"/>
    <w:rsid w:val="719F5042"/>
    <w:rsid w:val="753D5CE9"/>
    <w:rsid w:val="76375D4D"/>
    <w:rsid w:val="77361765"/>
    <w:rsid w:val="78542BE7"/>
    <w:rsid w:val="786C1451"/>
    <w:rsid w:val="78D855C6"/>
    <w:rsid w:val="79500AB3"/>
    <w:rsid w:val="797E465F"/>
    <w:rsid w:val="7A0B3779"/>
    <w:rsid w:val="7D9F2D98"/>
    <w:rsid w:val="7E727A8B"/>
    <w:rsid w:val="7EF4621D"/>
    <w:rsid w:val="7F1C3D32"/>
    <w:rsid w:val="7F7BC852"/>
    <w:rsid w:val="7FCA0930"/>
    <w:rsid w:val="BEEDC38D"/>
    <w:rsid w:val="D5DF3584"/>
    <w:rsid w:val="ECAE87EF"/>
    <w:rsid w:val="EE975DD4"/>
    <w:rsid w:val="EEFF1265"/>
    <w:rsid w:val="EF8836C2"/>
    <w:rsid w:val="F36F99FB"/>
    <w:rsid w:val="F7FFCA7F"/>
    <w:rsid w:val="F97C8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1010</Words>
  <Characters>1094</Characters>
  <Lines>0</Lines>
  <Paragraphs>0</Paragraphs>
  <TotalTime>9</TotalTime>
  <ScaleCrop>false</ScaleCrop>
  <LinksUpToDate>false</LinksUpToDate>
  <CharactersWithSpaces>1236</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2024-07-27T03:50:00Z</dcterms:created>
  <dc:creator>科尔沁区人社局</dc:creator>
  <cp:lastModifiedBy>user</cp:lastModifiedBy>
  <cp:lastPrinted>2025-07-14T00:39:00Z</cp:lastPrinted>
  <dcterms:modified xsi:type="dcterms:W3CDTF">2025-12-18T09:08:35Z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0E48444D823173EDE35BEC6881AC6D76</vt:lpwstr>
  </property>
  <property fmtid="{D5CDD505-2E9C-101B-9397-08002B2CF9AE}" pid="4" name="KSOTemplateDocerSaveRecord">
    <vt:lpwstr>eyJoZGlkIjoiYmMzYzNkZjU0YjUwZDg0NGI4OTFmYzYxNTI5MmZiMmIiLCJ1c2VySWQiOiIyNjQ0MDYxMzIifQ==</vt:lpwstr>
  </property>
</Properties>
</file>