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051A34">
      <w:pPr>
        <w:spacing w:line="57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棕榈股份2026年春季社会招聘岗位目录</w:t>
      </w:r>
    </w:p>
    <w:p w14:paraId="4282903F">
      <w:pPr>
        <w:tabs>
          <w:tab w:val="left" w:pos="900"/>
        </w:tabs>
        <w:snapToGrid w:val="0"/>
        <w:spacing w:line="570" w:lineRule="exact"/>
        <w:ind w:firstLine="420" w:firstLineChars="200"/>
        <w:jc w:val="center"/>
      </w:pPr>
    </w:p>
    <w:p w14:paraId="269D49AD">
      <w:pPr>
        <w:widowControl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棕榈股份本次2026年春季社会招聘共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人。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 w:bidi="ar"/>
        </w:rPr>
        <w:t>工作地点均为河南省，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具体如下：</w:t>
      </w:r>
    </w:p>
    <w:tbl>
      <w:tblPr>
        <w:tblStyle w:val="3"/>
        <w:tblW w:w="141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0"/>
        <w:gridCol w:w="769"/>
        <w:gridCol w:w="731"/>
        <w:gridCol w:w="769"/>
        <w:gridCol w:w="712"/>
        <w:gridCol w:w="732"/>
        <w:gridCol w:w="5062"/>
        <w:gridCol w:w="4594"/>
      </w:tblGrid>
      <w:tr w14:paraId="33FEC4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  <w:jc w:val="center"/>
        </w:trPr>
        <w:tc>
          <w:tcPr>
            <w:tcW w:w="740" w:type="dxa"/>
            <w:vAlign w:val="center"/>
          </w:tcPr>
          <w:p w14:paraId="30E928B3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bidi="ar"/>
              </w:rPr>
              <w:t>序号</w:t>
            </w:r>
          </w:p>
        </w:tc>
        <w:tc>
          <w:tcPr>
            <w:tcW w:w="769" w:type="dxa"/>
            <w:vAlign w:val="center"/>
          </w:tcPr>
          <w:p w14:paraId="20F22B03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bidi="ar"/>
              </w:rPr>
              <w:t>部门</w:t>
            </w:r>
          </w:p>
        </w:tc>
        <w:tc>
          <w:tcPr>
            <w:tcW w:w="731" w:type="dxa"/>
            <w:vAlign w:val="center"/>
          </w:tcPr>
          <w:p w14:paraId="68384C7C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bidi="ar"/>
              </w:rPr>
              <w:t>岗位名称</w:t>
            </w:r>
          </w:p>
        </w:tc>
        <w:tc>
          <w:tcPr>
            <w:tcW w:w="769" w:type="dxa"/>
            <w:vAlign w:val="center"/>
          </w:tcPr>
          <w:p w14:paraId="1B70A38A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bidi="ar"/>
              </w:rPr>
              <w:t>岗位序列</w:t>
            </w:r>
          </w:p>
        </w:tc>
        <w:tc>
          <w:tcPr>
            <w:tcW w:w="712" w:type="dxa"/>
            <w:vAlign w:val="center"/>
          </w:tcPr>
          <w:p w14:paraId="66792EF3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bidi="ar"/>
              </w:rPr>
              <w:t>岗位层级</w:t>
            </w:r>
          </w:p>
        </w:tc>
        <w:tc>
          <w:tcPr>
            <w:tcW w:w="732" w:type="dxa"/>
            <w:vAlign w:val="center"/>
          </w:tcPr>
          <w:p w14:paraId="7438313A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bidi="ar"/>
              </w:rPr>
              <w:t>招聘人数</w:t>
            </w:r>
          </w:p>
        </w:tc>
        <w:tc>
          <w:tcPr>
            <w:tcW w:w="5062" w:type="dxa"/>
            <w:vAlign w:val="center"/>
          </w:tcPr>
          <w:p w14:paraId="5612243F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bidi="ar"/>
              </w:rPr>
              <w:t>岗位职责</w:t>
            </w:r>
          </w:p>
        </w:tc>
        <w:tc>
          <w:tcPr>
            <w:tcW w:w="4594" w:type="dxa"/>
            <w:vAlign w:val="center"/>
          </w:tcPr>
          <w:p w14:paraId="6DE15CA1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bidi="ar"/>
              </w:rPr>
              <w:t>任职条件</w:t>
            </w:r>
          </w:p>
        </w:tc>
      </w:tr>
      <w:tr w14:paraId="65DD3B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6" w:hRule="atLeast"/>
          <w:jc w:val="center"/>
        </w:trPr>
        <w:tc>
          <w:tcPr>
            <w:tcW w:w="740" w:type="dxa"/>
            <w:shd w:val="clear" w:color="auto" w:fill="auto"/>
            <w:vAlign w:val="center"/>
          </w:tcPr>
          <w:p w14:paraId="196DEB49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 w:bidi="ar"/>
              </w:rPr>
              <w:t>1</w:t>
            </w:r>
          </w:p>
        </w:tc>
        <w:tc>
          <w:tcPr>
            <w:tcW w:w="769" w:type="dxa"/>
            <w:shd w:val="clear" w:color="auto" w:fill="auto"/>
            <w:vAlign w:val="center"/>
          </w:tcPr>
          <w:p w14:paraId="2C253C9B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bidi="ar"/>
              </w:rPr>
              <w:t>清收事业部</w:t>
            </w:r>
          </w:p>
        </w:tc>
        <w:tc>
          <w:tcPr>
            <w:tcW w:w="731" w:type="dxa"/>
            <w:shd w:val="clear" w:color="auto" w:fill="auto"/>
            <w:vAlign w:val="center"/>
          </w:tcPr>
          <w:p w14:paraId="1717F214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bidi="ar"/>
              </w:rPr>
              <w:t>项目成本管理岗</w:t>
            </w:r>
          </w:p>
        </w:tc>
        <w:tc>
          <w:tcPr>
            <w:tcW w:w="769" w:type="dxa"/>
            <w:shd w:val="clear" w:color="auto" w:fill="auto"/>
            <w:vAlign w:val="center"/>
          </w:tcPr>
          <w:p w14:paraId="1D58F99D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bidi="ar"/>
              </w:rPr>
              <w:t>专业序列</w:t>
            </w:r>
          </w:p>
        </w:tc>
        <w:tc>
          <w:tcPr>
            <w:tcW w:w="712" w:type="dxa"/>
            <w:shd w:val="clear" w:color="auto" w:fill="auto"/>
            <w:vAlign w:val="center"/>
          </w:tcPr>
          <w:p w14:paraId="676C4EEC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bidi="ar"/>
              </w:rPr>
              <w:t>专业经理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1B4AC249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 w:bidi="ar"/>
              </w:rPr>
              <w:t>1</w:t>
            </w:r>
          </w:p>
        </w:tc>
        <w:tc>
          <w:tcPr>
            <w:tcW w:w="5062" w:type="dxa"/>
            <w:shd w:val="clear" w:color="auto" w:fill="auto"/>
            <w:vAlign w:val="center"/>
          </w:tcPr>
          <w:p w14:paraId="17B316FE">
            <w:pPr>
              <w:widowControl/>
              <w:jc w:val="left"/>
              <w:rPr>
                <w:rFonts w:hint="eastAsia" w:ascii="仿宋_GB2312" w:hAnsi="仿宋_GB2312" w:eastAsia="仿宋_GB2312" w:cs="仿宋_GB2312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bidi="ar"/>
              </w:rPr>
              <w:t>1.协助存量项目历史尾款清收工作，制定并跟进催收计划；推进存量项目竣工结算、对账及争议处理流程，确保回款节点可控；</w:t>
            </w:r>
          </w:p>
          <w:p w14:paraId="3A7B1E74">
            <w:pPr>
              <w:widowControl/>
              <w:jc w:val="left"/>
              <w:rPr>
                <w:rFonts w:hint="eastAsia" w:ascii="仿宋_GB2312" w:hAnsi="仿宋_GB2312" w:eastAsia="仿宋_GB2312" w:cs="仿宋_GB2312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bidi="ar"/>
              </w:rPr>
              <w:t>2.配合法务及外部律师开展存量项目及历史遗留问题主被诉案件分析；负责诉讼成本测算、证据梳理与损失评估，为诉讼策略制定提供数据支撑；</w:t>
            </w:r>
          </w:p>
          <w:p w14:paraId="45C76C79">
            <w:pPr>
              <w:widowControl/>
              <w:jc w:val="left"/>
              <w:rPr>
                <w:rFonts w:hint="eastAsia" w:ascii="仿宋_GB2312" w:hAnsi="仿宋_GB2312" w:eastAsia="仿宋_GB2312" w:cs="仿宋_GB2312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bidi="ar"/>
              </w:rPr>
              <w:t>3.负责存量项目对乙方的结算谈判与成本测算，审核施工单位报送的结算资核施工单位报送的结算资料；通过优化谈判策略、开展成本数据分析，推动结算成本压降，提升项目利润空间；</w:t>
            </w:r>
          </w:p>
          <w:p w14:paraId="58594B98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bidi="ar"/>
              </w:rPr>
              <w:t>4.建立并动态更新存量项目台账（涵盖尾款、工抵房、诉讼、结算等关键信息），定期输出分析报告。</w:t>
            </w:r>
          </w:p>
        </w:tc>
        <w:tc>
          <w:tcPr>
            <w:tcW w:w="4594" w:type="dxa"/>
            <w:shd w:val="clear" w:color="auto" w:fill="auto"/>
            <w:vAlign w:val="center"/>
          </w:tcPr>
          <w:p w14:paraId="01660997">
            <w:pPr>
              <w:widowControl/>
              <w:jc w:val="left"/>
              <w:rPr>
                <w:rFonts w:hint="eastAsia" w:ascii="仿宋_GB2312" w:hAnsi="仿宋_GB2312" w:eastAsia="仿宋_GB2312" w:cs="仿宋_GB2312"/>
                <w:szCs w:val="21"/>
                <w:lang w:bidi="ar"/>
              </w:rPr>
            </w:pPr>
          </w:p>
          <w:p w14:paraId="5B7D1A5B">
            <w:pPr>
              <w:widowControl/>
              <w:jc w:val="left"/>
              <w:rPr>
                <w:rFonts w:hint="eastAsia" w:ascii="仿宋_GB2312" w:hAnsi="仿宋_GB2312" w:eastAsia="仿宋_GB2312" w:cs="仿宋_GB2312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bidi="ar"/>
              </w:rPr>
              <w:t>1.中共党员优先；</w:t>
            </w:r>
          </w:p>
          <w:p w14:paraId="5626AA93">
            <w:pPr>
              <w:widowControl/>
              <w:jc w:val="left"/>
              <w:rPr>
                <w:rFonts w:hint="eastAsia" w:ascii="仿宋_GB2312" w:hAnsi="仿宋_GB2312" w:eastAsia="仿宋_GB2312" w:cs="仿宋_GB2312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bidi="ar"/>
              </w:rPr>
              <w:t>2.本科及以上学历，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 w:bidi="ar"/>
              </w:rPr>
              <w:t>并取得相应学位证书</w:t>
            </w:r>
            <w:r>
              <w:rPr>
                <w:rFonts w:hint="eastAsia" w:ascii="仿宋_GB2312" w:hAnsi="仿宋_GB2312" w:eastAsia="仿宋_GB2312" w:cs="仿宋_GB2312"/>
                <w:szCs w:val="21"/>
                <w:lang w:bidi="ar"/>
              </w:rPr>
              <w:t>；工程造价、工程管理、土木工程、建筑学、园林等相关专业。持有一级或二级造价工程师职业资格证书，或持有一级或二级建造师执业资格证书，或具备中级及以上工程师职称；</w:t>
            </w:r>
          </w:p>
          <w:p w14:paraId="48DA07F8">
            <w:pPr>
              <w:widowControl/>
              <w:jc w:val="left"/>
              <w:rPr>
                <w:rFonts w:hint="eastAsia" w:ascii="仿宋_GB2312" w:hAnsi="仿宋_GB2312" w:eastAsia="仿宋_GB2312" w:cs="仿宋_GB2312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bidi="ar"/>
              </w:rPr>
              <w:t>3.具有5年以上园林、房建、市政工程相关工作经验。至少有统筹管理3个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 w:bidi="ar"/>
              </w:rPr>
              <w:t>或3个</w:t>
            </w:r>
            <w:r>
              <w:rPr>
                <w:rFonts w:hint="eastAsia" w:ascii="仿宋_GB2312" w:hAnsi="仿宋_GB2312" w:eastAsia="仿宋_GB2312" w:cs="仿宋_GB2312"/>
                <w:szCs w:val="21"/>
                <w:lang w:bidi="ar"/>
              </w:rPr>
              <w:t>以上项目的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 w:bidi="ar"/>
              </w:rPr>
              <w:t>预算</w:t>
            </w:r>
            <w:r>
              <w:rPr>
                <w:rFonts w:hint="eastAsia" w:ascii="仿宋_GB2312" w:hAnsi="仿宋_GB2312" w:eastAsia="仿宋_GB2312" w:cs="仿宋_GB2312"/>
                <w:szCs w:val="21"/>
                <w:lang w:bidi="ar"/>
              </w:rPr>
              <w:t>、结算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 w:bidi="ar"/>
              </w:rPr>
              <w:t>、</w:t>
            </w:r>
            <w:r>
              <w:rPr>
                <w:rFonts w:hint="eastAsia" w:ascii="仿宋_GB2312" w:hAnsi="仿宋_GB2312" w:eastAsia="仿宋_GB2312" w:cs="仿宋_GB2312"/>
                <w:szCs w:val="21"/>
                <w:lang w:bidi="ar"/>
              </w:rPr>
              <w:t>工程造价管理等实际操作经验。</w:t>
            </w:r>
          </w:p>
          <w:p w14:paraId="5B94F08F">
            <w:pPr>
              <w:widowControl/>
              <w:jc w:val="left"/>
              <w:rPr>
                <w:rFonts w:hint="eastAsia" w:ascii="仿宋_GB2312" w:hAnsi="仿宋_GB2312" w:eastAsia="仿宋_GB2312" w:cs="仿宋_GB2312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bidi="ar"/>
              </w:rPr>
              <w:t>4.熟练掌握国家相关法律法规及工程造价、招投标的管理规定，熟悉专业知识，熟悉工程图纸，掌握工程预算定额及有关政策规定。</w:t>
            </w:r>
          </w:p>
          <w:p w14:paraId="7DEA53C7">
            <w:pPr>
              <w:widowControl/>
              <w:jc w:val="left"/>
              <w:rPr>
                <w:rFonts w:hint="eastAsia" w:ascii="仿宋_GB2312" w:hAnsi="仿宋_GB2312" w:eastAsia="仿宋_GB2312" w:cs="仿宋_GB2312"/>
                <w:szCs w:val="21"/>
                <w:lang w:val="en-US" w:eastAsia="zh-CN" w:bidi="ar"/>
              </w:rPr>
            </w:pPr>
          </w:p>
        </w:tc>
      </w:tr>
      <w:tr w14:paraId="595F1C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5" w:hRule="atLeast"/>
          <w:jc w:val="center"/>
        </w:trPr>
        <w:tc>
          <w:tcPr>
            <w:tcW w:w="740" w:type="dxa"/>
            <w:shd w:val="clear" w:color="auto" w:fill="auto"/>
            <w:vAlign w:val="center"/>
          </w:tcPr>
          <w:p w14:paraId="0217E7F2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 w:bidi="ar"/>
              </w:rPr>
              <w:t>2</w:t>
            </w:r>
          </w:p>
        </w:tc>
        <w:tc>
          <w:tcPr>
            <w:tcW w:w="769" w:type="dxa"/>
            <w:shd w:val="clear" w:color="auto" w:fill="auto"/>
            <w:vAlign w:val="center"/>
          </w:tcPr>
          <w:p w14:paraId="2DD8CBFE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bidi="ar"/>
              </w:rPr>
              <w:t>直管项目部</w:t>
            </w:r>
          </w:p>
        </w:tc>
        <w:tc>
          <w:tcPr>
            <w:tcW w:w="731" w:type="dxa"/>
            <w:shd w:val="clear" w:color="auto" w:fill="auto"/>
            <w:vAlign w:val="center"/>
          </w:tcPr>
          <w:p w14:paraId="48EE44F9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bidi="ar"/>
              </w:rPr>
              <w:t>项目成本管理岗</w:t>
            </w:r>
          </w:p>
        </w:tc>
        <w:tc>
          <w:tcPr>
            <w:tcW w:w="769" w:type="dxa"/>
            <w:shd w:val="clear" w:color="auto" w:fill="auto"/>
            <w:vAlign w:val="center"/>
          </w:tcPr>
          <w:p w14:paraId="10CF44B2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bidi="ar"/>
              </w:rPr>
              <w:t>专业序列</w:t>
            </w:r>
          </w:p>
        </w:tc>
        <w:tc>
          <w:tcPr>
            <w:tcW w:w="712" w:type="dxa"/>
            <w:shd w:val="clear" w:color="auto" w:fill="auto"/>
            <w:vAlign w:val="center"/>
          </w:tcPr>
          <w:p w14:paraId="1EB87E88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bidi="ar"/>
              </w:rPr>
              <w:t>专业主管/专业经理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3CA251E2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 w:bidi="ar"/>
              </w:rPr>
              <w:t>4</w:t>
            </w:r>
          </w:p>
        </w:tc>
        <w:tc>
          <w:tcPr>
            <w:tcW w:w="5062" w:type="dxa"/>
            <w:vMerge w:val="restart"/>
            <w:shd w:val="clear" w:color="auto" w:fill="auto"/>
            <w:vAlign w:val="center"/>
          </w:tcPr>
          <w:p w14:paraId="5E102AB6">
            <w:pPr>
              <w:widowControl/>
              <w:jc w:val="left"/>
              <w:rPr>
                <w:rFonts w:hint="eastAsia" w:ascii="仿宋_GB2312" w:hAnsi="仿宋_GB2312" w:eastAsia="仿宋_GB2312" w:cs="仿宋_GB2312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bidi="ar"/>
              </w:rPr>
              <w:t>1.负责项目全周期成本管理，落实目标成本分解，开展动态成本监控、偏差分析及纠偏，协同完成成本分析报告，确保成本节降目标达成；</w:t>
            </w:r>
          </w:p>
          <w:p w14:paraId="224F2E16">
            <w:pPr>
              <w:widowControl/>
              <w:jc w:val="left"/>
              <w:rPr>
                <w:rFonts w:hint="eastAsia" w:ascii="仿宋_GB2312" w:hAnsi="仿宋_GB2312" w:eastAsia="仿宋_GB2312" w:cs="仿宋_GB2312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bidi="ar"/>
              </w:rPr>
              <w:t>2.主导专业分包招采全流程，编制招标文件、组织开标答疑，牵头合同评审与交底，处理合同纠纷及索赔，建立合同台账并跟踪履约情况；</w:t>
            </w:r>
          </w:p>
          <w:p w14:paraId="28E63634">
            <w:pPr>
              <w:widowControl/>
              <w:jc w:val="left"/>
              <w:rPr>
                <w:rFonts w:hint="eastAsia" w:ascii="仿宋_GB2312" w:hAnsi="仿宋_GB2312" w:eastAsia="仿宋_GB2312" w:cs="仿宋_GB2312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bidi="ar"/>
              </w:rPr>
              <w:t>3.编制项目预结算底稿，参与图纸会审及设计变更审核，按变更调整预决算，配合完成产值录入与报送，按计划完成结算评审及对外报送；</w:t>
            </w:r>
          </w:p>
          <w:p w14:paraId="5722E326">
            <w:pPr>
              <w:widowControl/>
              <w:jc w:val="left"/>
              <w:rPr>
                <w:rFonts w:hint="eastAsia" w:ascii="仿宋_GB2312" w:hAnsi="仿宋_GB2312" w:eastAsia="仿宋_GB2312" w:cs="仿宋_GB2312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bidi="ar"/>
              </w:rPr>
              <w:t>4.负责项目签证索赔全流程管控，建立签证索赔台账，及时收集现场证据、编制索赔报告，按公司规定完成签证索赔审批及结算申报；</w:t>
            </w:r>
          </w:p>
          <w:p w14:paraId="7BCEE583">
            <w:pPr>
              <w:widowControl/>
              <w:jc w:val="left"/>
              <w:rPr>
                <w:rFonts w:hint="eastAsia" w:ascii="仿宋_GB2312" w:hAnsi="仿宋_GB2312" w:eastAsia="仿宋_GB2312" w:cs="仿宋_GB2312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bidi="ar"/>
              </w:rPr>
              <w:t>5.统筹项目全周期经济资料管理，收集、整理合同、签证、结算书等工程经济文件，竣工后完成资料归档及移交，确保资料完整可追溯；</w:t>
            </w:r>
          </w:p>
          <w:p w14:paraId="45F25582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bidi="ar"/>
              </w:rPr>
              <w:t>6.配合招采、工程等部门完成招采支持、成本协同工作，定期向上级及主管部门汇报成本管理情况，推动成本管控措施落地。</w:t>
            </w:r>
          </w:p>
        </w:tc>
        <w:tc>
          <w:tcPr>
            <w:tcW w:w="4594" w:type="dxa"/>
            <w:vMerge w:val="restart"/>
            <w:shd w:val="clear" w:color="auto" w:fill="auto"/>
            <w:vAlign w:val="center"/>
          </w:tcPr>
          <w:p w14:paraId="729BF646">
            <w:pPr>
              <w:widowControl/>
              <w:jc w:val="left"/>
              <w:rPr>
                <w:rFonts w:hint="eastAsia" w:ascii="仿宋_GB2312" w:hAnsi="仿宋_GB2312" w:eastAsia="仿宋_GB2312" w:cs="仿宋_GB2312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bidi="ar"/>
              </w:rPr>
              <w:t>1.中共党员优先；</w:t>
            </w:r>
          </w:p>
          <w:p w14:paraId="07075258">
            <w:pPr>
              <w:widowControl/>
              <w:jc w:val="left"/>
              <w:rPr>
                <w:rFonts w:hint="eastAsia" w:ascii="仿宋_GB2312" w:hAnsi="仿宋_GB2312" w:eastAsia="仿宋_GB2312" w:cs="仿宋_GB2312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bidi="ar"/>
              </w:rPr>
              <w:t>2.本科及以上学历，工程造价、工程管理、土木工程、建筑学、园林等相关专业。持有一级或二级造价工程师职业资格证书，或持有一级或二级建造师执业资格证书，或具备中级及以上工程师职称；</w:t>
            </w:r>
          </w:p>
          <w:p w14:paraId="2B339947">
            <w:pPr>
              <w:widowControl/>
              <w:jc w:val="left"/>
              <w:rPr>
                <w:rFonts w:hint="eastAsia" w:ascii="仿宋_GB2312" w:hAnsi="仿宋_GB2312" w:eastAsia="仿宋_GB2312" w:cs="仿宋_GB2312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bidi="ar"/>
              </w:rPr>
              <w:t>3.具有5年以上施工总承包或造价咨询、地产等建筑相关成本工作经验；</w:t>
            </w:r>
          </w:p>
          <w:p w14:paraId="4F7E4E86">
            <w:pPr>
              <w:widowControl/>
              <w:jc w:val="left"/>
              <w:rPr>
                <w:rFonts w:hint="eastAsia" w:ascii="仿宋_GB2312" w:hAnsi="仿宋_GB2312" w:eastAsia="仿宋_GB2312" w:cs="仿宋_GB2312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bidi="ar"/>
              </w:rPr>
              <w:t>4.具有项目管理、合同管理、成本管理能力；熟悉工程造价、合同条文，能够熟悉和运用各种法律法规；熟练使用造价软件（如广联达、鲁班、BIM 造价软件）及办公软件（Excel、PPT 等）；</w:t>
            </w:r>
          </w:p>
          <w:p w14:paraId="7C1C8689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bidi="ar"/>
              </w:rPr>
              <w:t>5.具有较强统筹、规划能力、成本意识、团队意识和职业操守；掌握数据分析能力；具有较强的沟通协调能力；可适应出差。</w:t>
            </w:r>
          </w:p>
        </w:tc>
      </w:tr>
      <w:tr w14:paraId="025CF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6" w:hRule="atLeast"/>
          <w:jc w:val="center"/>
        </w:trPr>
        <w:tc>
          <w:tcPr>
            <w:tcW w:w="740" w:type="dxa"/>
            <w:shd w:val="clear" w:color="auto" w:fill="auto"/>
            <w:vAlign w:val="center"/>
          </w:tcPr>
          <w:p w14:paraId="7F145581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 w:bidi="ar"/>
              </w:rPr>
              <w:t>3</w:t>
            </w:r>
          </w:p>
        </w:tc>
        <w:tc>
          <w:tcPr>
            <w:tcW w:w="769" w:type="dxa"/>
            <w:shd w:val="clear" w:color="auto" w:fill="auto"/>
            <w:vAlign w:val="center"/>
          </w:tcPr>
          <w:p w14:paraId="105387ED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bidi="ar"/>
              </w:rPr>
              <w:t>棕榈水利</w:t>
            </w:r>
          </w:p>
        </w:tc>
        <w:tc>
          <w:tcPr>
            <w:tcW w:w="731" w:type="dxa"/>
            <w:shd w:val="clear" w:color="auto" w:fill="auto"/>
            <w:vAlign w:val="center"/>
          </w:tcPr>
          <w:p w14:paraId="6FA33CFE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bidi="ar"/>
              </w:rPr>
              <w:t>项目成本管理岗</w:t>
            </w:r>
          </w:p>
        </w:tc>
        <w:tc>
          <w:tcPr>
            <w:tcW w:w="769" w:type="dxa"/>
            <w:shd w:val="clear" w:color="auto" w:fill="auto"/>
            <w:vAlign w:val="center"/>
          </w:tcPr>
          <w:p w14:paraId="03AB191B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bidi="ar"/>
              </w:rPr>
              <w:t>专业序列</w:t>
            </w:r>
          </w:p>
        </w:tc>
        <w:tc>
          <w:tcPr>
            <w:tcW w:w="712" w:type="dxa"/>
            <w:shd w:val="clear" w:color="auto" w:fill="auto"/>
            <w:vAlign w:val="center"/>
          </w:tcPr>
          <w:p w14:paraId="0FD7D987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bidi="ar"/>
              </w:rPr>
              <w:t>专业经理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4A5E730F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 w:bidi="ar"/>
              </w:rPr>
              <w:t>1</w:t>
            </w:r>
          </w:p>
        </w:tc>
        <w:tc>
          <w:tcPr>
            <w:tcW w:w="5062" w:type="dxa"/>
            <w:vMerge w:val="continue"/>
            <w:vAlign w:val="center"/>
          </w:tcPr>
          <w:p w14:paraId="299589B0">
            <w:pPr>
              <w:widowControl/>
              <w:rPr>
                <w:rFonts w:hint="eastAsia" w:ascii="仿宋_GB2312" w:hAnsi="仿宋_GB2312" w:eastAsia="仿宋_GB2312" w:cs="仿宋_GB2312"/>
                <w:szCs w:val="21"/>
                <w:lang w:bidi="ar"/>
              </w:rPr>
            </w:pPr>
          </w:p>
        </w:tc>
        <w:tc>
          <w:tcPr>
            <w:tcW w:w="4594" w:type="dxa"/>
            <w:vMerge w:val="continue"/>
            <w:vAlign w:val="center"/>
          </w:tcPr>
          <w:p w14:paraId="0BAB1B70">
            <w:pPr>
              <w:widowControl/>
              <w:jc w:val="left"/>
              <w:rPr>
                <w:rFonts w:hint="eastAsia" w:ascii="仿宋_GB2312" w:hAnsi="仿宋_GB2312" w:eastAsia="仿宋_GB2312" w:cs="仿宋_GB2312"/>
                <w:szCs w:val="21"/>
                <w:lang w:bidi="ar"/>
              </w:rPr>
            </w:pPr>
          </w:p>
        </w:tc>
      </w:tr>
      <w:tr w14:paraId="0618E2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8" w:hRule="atLeast"/>
          <w:jc w:val="center"/>
        </w:trPr>
        <w:tc>
          <w:tcPr>
            <w:tcW w:w="740" w:type="dxa"/>
            <w:shd w:val="clear" w:color="auto" w:fill="auto"/>
            <w:vAlign w:val="center"/>
          </w:tcPr>
          <w:p w14:paraId="3BE0E24A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 w:bidi="ar"/>
              </w:rPr>
              <w:t>4</w:t>
            </w:r>
          </w:p>
        </w:tc>
        <w:tc>
          <w:tcPr>
            <w:tcW w:w="769" w:type="dxa"/>
            <w:shd w:val="clear" w:color="auto" w:fill="auto"/>
            <w:vAlign w:val="center"/>
          </w:tcPr>
          <w:p w14:paraId="170B5E9B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bidi="ar"/>
              </w:rPr>
              <w:t>市场客户部</w:t>
            </w:r>
          </w:p>
        </w:tc>
        <w:tc>
          <w:tcPr>
            <w:tcW w:w="731" w:type="dxa"/>
            <w:shd w:val="clear" w:color="auto" w:fill="auto"/>
            <w:vAlign w:val="center"/>
          </w:tcPr>
          <w:p w14:paraId="7F197D3E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bidi="ar"/>
              </w:rPr>
              <w:t>商务标投标负责人</w:t>
            </w:r>
          </w:p>
        </w:tc>
        <w:tc>
          <w:tcPr>
            <w:tcW w:w="769" w:type="dxa"/>
            <w:shd w:val="clear" w:color="auto" w:fill="auto"/>
            <w:vAlign w:val="center"/>
          </w:tcPr>
          <w:p w14:paraId="534F9A59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bidi="ar"/>
              </w:rPr>
              <w:t>专业序列</w:t>
            </w:r>
          </w:p>
        </w:tc>
        <w:tc>
          <w:tcPr>
            <w:tcW w:w="712" w:type="dxa"/>
            <w:shd w:val="clear" w:color="auto" w:fill="auto"/>
            <w:vAlign w:val="center"/>
          </w:tcPr>
          <w:p w14:paraId="76A9B546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bidi="ar"/>
              </w:rPr>
              <w:t>专业经理/高级专业经理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2D89A305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bidi="ar"/>
              </w:rPr>
              <w:t>1</w:t>
            </w:r>
          </w:p>
        </w:tc>
        <w:tc>
          <w:tcPr>
            <w:tcW w:w="5062" w:type="dxa"/>
            <w:shd w:val="clear" w:color="auto" w:fill="auto"/>
            <w:vAlign w:val="center"/>
          </w:tcPr>
          <w:p w14:paraId="7058C9CD">
            <w:pPr>
              <w:widowControl/>
              <w:jc w:val="left"/>
              <w:rPr>
                <w:rFonts w:hint="eastAsia" w:ascii="仿宋_GB2312" w:hAnsi="仿宋_GB2312" w:eastAsia="仿宋_GB2312" w:cs="仿宋_GB2312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bidi="ar"/>
              </w:rPr>
              <w:t>1.精通投标项目的全成本测算，牵头梳理人工、材料、机械、管理费、税金等各项成本构成，确保成本数据的真实性与完整性；</w:t>
            </w:r>
          </w:p>
          <w:p w14:paraId="7941C0C9">
            <w:pPr>
              <w:widowControl/>
              <w:jc w:val="left"/>
              <w:rPr>
                <w:rFonts w:hint="eastAsia" w:ascii="仿宋_GB2312" w:hAnsi="仿宋_GB2312" w:eastAsia="仿宋_GB2312" w:cs="仿宋_GB2312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bidi="ar"/>
              </w:rPr>
              <w:t>2.牵头成本测算，依据成本测算结果，结合市场竞争态势、招标控制价、竞争对手分析，制定科学合理的报价策略，平衡中标率与项目利润底线；</w:t>
            </w:r>
          </w:p>
          <w:p w14:paraId="002BB2BB">
            <w:pPr>
              <w:widowControl/>
              <w:jc w:val="left"/>
              <w:rPr>
                <w:rFonts w:hint="eastAsia" w:ascii="仿宋_GB2312" w:hAnsi="仿宋_GB2312" w:eastAsia="仿宋_GB2312" w:cs="仿宋_GB2312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bidi="ar"/>
              </w:rPr>
              <w:t>3.统筹商务标（投标报价），深度拆解招标文件中的商务条款，排查废标风险与合规风险；</w:t>
            </w:r>
          </w:p>
          <w:p w14:paraId="7CD3BD5C">
            <w:pPr>
              <w:widowControl/>
              <w:jc w:val="left"/>
              <w:rPr>
                <w:rFonts w:hint="eastAsia" w:ascii="仿宋_GB2312" w:hAnsi="仿宋_GB2312" w:eastAsia="仿宋_GB2312" w:cs="仿宋_GB2312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bidi="ar"/>
              </w:rPr>
              <w:t>4.牵头商务标（投标报价）的编制、审核、定稿，确保“零误差、零废标”；</w:t>
            </w:r>
          </w:p>
          <w:p w14:paraId="4C88B570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bidi="ar"/>
              </w:rPr>
              <w:t>5.协调跨部门（财务、成本等）配合商务投标工作，跟进开标商务事宜，组织商务标复盘优化。</w:t>
            </w:r>
          </w:p>
        </w:tc>
        <w:tc>
          <w:tcPr>
            <w:tcW w:w="4594" w:type="dxa"/>
            <w:shd w:val="clear" w:color="auto" w:fill="auto"/>
            <w:vAlign w:val="center"/>
          </w:tcPr>
          <w:p w14:paraId="4A7B4B2D">
            <w:pPr>
              <w:widowControl/>
              <w:jc w:val="left"/>
              <w:rPr>
                <w:rFonts w:hint="eastAsia" w:ascii="仿宋_GB2312" w:hAnsi="仿宋_GB2312" w:eastAsia="仿宋_GB2312" w:cs="仿宋_GB2312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bidi="ar"/>
              </w:rPr>
              <w:t>1.中共党员优先；</w:t>
            </w:r>
          </w:p>
          <w:p w14:paraId="1BA4FD42">
            <w:pPr>
              <w:widowControl/>
              <w:jc w:val="left"/>
              <w:rPr>
                <w:rFonts w:hint="eastAsia" w:ascii="仿宋_GB2312" w:hAnsi="仿宋_GB2312" w:eastAsia="仿宋_GB2312" w:cs="仿宋_GB2312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bidi="ar"/>
              </w:rPr>
              <w:t>2.本科及以上学历，并取得相应学位证书；工程造价、工程管理、土木工程、建筑学、园林等相关专业。持有一级或二级造价工程师职业资格证书，或持有一级或二级建造师执业资格证书，或具备中级及以上工程师职称；</w:t>
            </w:r>
          </w:p>
          <w:p w14:paraId="38769170">
            <w:pPr>
              <w:widowControl/>
              <w:jc w:val="left"/>
              <w:rPr>
                <w:rFonts w:hint="eastAsia" w:ascii="仿宋_GB2312" w:hAnsi="仿宋_GB2312" w:eastAsia="仿宋_GB2312" w:cs="仿宋_GB2312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bidi="ar"/>
              </w:rPr>
              <w:t>3.5年以上投标报价经验，其中至少2年团队管理经验；具备成本测算、商务报价的实操经验，熟悉（土建/安装/市政/水利）专业成本体系；</w:t>
            </w:r>
          </w:p>
          <w:p w14:paraId="40A3253D">
            <w:pPr>
              <w:widowControl/>
              <w:jc w:val="left"/>
              <w:rPr>
                <w:rFonts w:hint="eastAsia" w:ascii="仿宋_GB2312" w:hAnsi="仿宋_GB2312" w:eastAsia="仿宋_GB2312" w:cs="仿宋_GB2312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bidi="ar"/>
              </w:rPr>
              <w:t>4.精通成本构成与分析，能独立完成复杂项目的成本测算与审核，熟悉定额、清单计价规范及市场价格行情，有中标案例；能根据项目特点、竞争环境、公司战略制定差异化报价策略；</w:t>
            </w:r>
          </w:p>
          <w:p w14:paraId="1FE55CB6">
            <w:pPr>
              <w:widowControl/>
              <w:jc w:val="left"/>
              <w:rPr>
                <w:rFonts w:hint="eastAsia" w:ascii="仿宋_GB2312" w:hAnsi="仿宋_GB2312" w:eastAsia="仿宋_GB2312" w:cs="仿宋_GB2312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bidi="ar"/>
              </w:rPr>
              <w:t>5.精通招投标法律法规，对商务标废标项、合规风险有极高的敏感度与判断力，持注册造价工程师、具有国企/大型项目商务统筹经验优先；</w:t>
            </w:r>
          </w:p>
          <w:p w14:paraId="216B06C8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bidi="ar"/>
              </w:rPr>
              <w:t>6.具备极强的数据分析能力、抗压能力及跨部门沟通协调能力。</w:t>
            </w:r>
          </w:p>
        </w:tc>
      </w:tr>
      <w:tr w14:paraId="4421F8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4" w:hRule="atLeast"/>
          <w:jc w:val="center"/>
        </w:trPr>
        <w:tc>
          <w:tcPr>
            <w:tcW w:w="740" w:type="dxa"/>
            <w:shd w:val="clear" w:color="auto" w:fill="auto"/>
            <w:vAlign w:val="center"/>
          </w:tcPr>
          <w:p w14:paraId="18965673">
            <w:pPr>
              <w:widowControl/>
              <w:jc w:val="center"/>
              <w:rPr>
                <w:rFonts w:hint="eastAsia" w:ascii="仿宋_GB2312" w:hAnsi="仿宋_GB2312" w:eastAsia="仿宋_GB2312" w:cs="仿宋_GB2312"/>
                <w:szCs w:val="21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 w:bidi="ar"/>
              </w:rPr>
              <w:t>5</w:t>
            </w:r>
          </w:p>
        </w:tc>
        <w:tc>
          <w:tcPr>
            <w:tcW w:w="769" w:type="dxa"/>
            <w:shd w:val="clear" w:color="auto" w:fill="auto"/>
            <w:vAlign w:val="center"/>
          </w:tcPr>
          <w:p w14:paraId="1DB69F99">
            <w:pPr>
              <w:widowControl/>
              <w:jc w:val="center"/>
              <w:rPr>
                <w:rFonts w:hint="eastAsia" w:ascii="仿宋_GB2312" w:hAnsi="仿宋_GB2312" w:eastAsia="仿宋_GB2312" w:cs="仿宋_GB2312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bidi="ar"/>
              </w:rPr>
              <w:t>党群人力部</w:t>
            </w:r>
          </w:p>
        </w:tc>
        <w:tc>
          <w:tcPr>
            <w:tcW w:w="731" w:type="dxa"/>
            <w:shd w:val="clear" w:color="auto" w:fill="auto"/>
            <w:vAlign w:val="center"/>
          </w:tcPr>
          <w:p w14:paraId="6D0EB363">
            <w:pPr>
              <w:widowControl/>
              <w:jc w:val="center"/>
              <w:rPr>
                <w:rFonts w:hint="eastAsia" w:ascii="仿宋_GB2312" w:hAnsi="仿宋_GB2312" w:eastAsia="仿宋_GB2312" w:cs="仿宋_GB2312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bidi="ar"/>
              </w:rPr>
              <w:t>党群管理岗</w:t>
            </w:r>
          </w:p>
        </w:tc>
        <w:tc>
          <w:tcPr>
            <w:tcW w:w="769" w:type="dxa"/>
            <w:shd w:val="clear" w:color="auto" w:fill="auto"/>
            <w:vAlign w:val="center"/>
          </w:tcPr>
          <w:p w14:paraId="4779256E">
            <w:pPr>
              <w:widowControl/>
              <w:jc w:val="center"/>
              <w:rPr>
                <w:rFonts w:hint="eastAsia" w:ascii="仿宋_GB2312" w:hAnsi="仿宋_GB2312" w:eastAsia="仿宋_GB2312" w:cs="仿宋_GB2312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bidi="ar"/>
              </w:rPr>
              <w:t>专业序列</w:t>
            </w:r>
          </w:p>
        </w:tc>
        <w:tc>
          <w:tcPr>
            <w:tcW w:w="712" w:type="dxa"/>
            <w:shd w:val="clear" w:color="auto" w:fill="auto"/>
            <w:vAlign w:val="center"/>
          </w:tcPr>
          <w:p w14:paraId="1187C32E">
            <w:pPr>
              <w:widowControl/>
              <w:jc w:val="center"/>
              <w:rPr>
                <w:rFonts w:hint="eastAsia" w:ascii="仿宋_GB2312" w:hAnsi="仿宋_GB2312" w:eastAsia="仿宋_GB2312" w:cs="仿宋_GB2312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bidi="ar"/>
              </w:rPr>
              <w:t>专业主管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34CAA5A4">
            <w:pPr>
              <w:widowControl/>
              <w:jc w:val="center"/>
              <w:rPr>
                <w:rFonts w:hint="eastAsia" w:ascii="仿宋_GB2312" w:hAnsi="仿宋_GB2312" w:eastAsia="仿宋_GB2312" w:cs="仿宋_GB2312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bidi="ar"/>
              </w:rPr>
              <w:t>1</w:t>
            </w:r>
          </w:p>
        </w:tc>
        <w:tc>
          <w:tcPr>
            <w:tcW w:w="5062" w:type="dxa"/>
            <w:vAlign w:val="center"/>
          </w:tcPr>
          <w:p w14:paraId="2033A778">
            <w:pPr>
              <w:widowControl/>
              <w:rPr>
                <w:rFonts w:hint="eastAsia" w:ascii="仿宋_GB2312" w:hAnsi="仿宋_GB2312" w:eastAsia="仿宋_GB2312" w:cs="仿宋_GB2312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bidi="ar"/>
              </w:rPr>
              <w:t>1.负责党组织日常事务，包括“三会一课”、主题党日、民主生活会等党内政治生活的组织筹备、纪实归档，规范党员发展、教育管理及党组织换届工作；</w:t>
            </w:r>
          </w:p>
          <w:p w14:paraId="125FBB00">
            <w:pPr>
              <w:widowControl/>
              <w:rPr>
                <w:rFonts w:hint="eastAsia" w:ascii="仿宋_GB2312" w:hAnsi="仿宋_GB2312" w:eastAsia="仿宋_GB2312" w:cs="仿宋_GB2312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bidi="ar"/>
              </w:rPr>
              <w:t>2.起草党群工作相关文件、报告、讲话稿等公文材料，负责党建新闻宣传、意识形态阵地管理，运营企业党建宣传栏等载体，推动企业文化建设；</w:t>
            </w:r>
          </w:p>
          <w:p w14:paraId="1468CB51">
            <w:pPr>
              <w:widowControl/>
              <w:rPr>
                <w:rFonts w:hint="eastAsia" w:ascii="仿宋_GB2312" w:hAnsi="仿宋_GB2312" w:eastAsia="仿宋_GB2312" w:cs="仿宋_GB2312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bidi="ar"/>
              </w:rPr>
              <w:t xml:space="preserve">3.组织党员政治理论学习、主题教育活动，协助开展党风廉政建设、廉洁风险排查及党风党纪教育； </w:t>
            </w:r>
          </w:p>
          <w:p w14:paraId="6D345657">
            <w:pPr>
              <w:widowControl/>
              <w:rPr>
                <w:rFonts w:hint="eastAsia" w:ascii="仿宋_GB2312" w:hAnsi="仿宋_GB2312" w:eastAsia="仿宋_GB2312" w:cs="仿宋_GB2312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bidi="ar"/>
              </w:rPr>
              <w:t>4.对接上级党组织及相关部门，落实党建专项工作部署，统筹党内统计、党费管理等工作，完成领导交办的其他党群相关任务。</w:t>
            </w:r>
          </w:p>
        </w:tc>
        <w:tc>
          <w:tcPr>
            <w:tcW w:w="4594" w:type="dxa"/>
            <w:vAlign w:val="center"/>
          </w:tcPr>
          <w:p w14:paraId="01F63271">
            <w:pPr>
              <w:widowControl/>
              <w:jc w:val="left"/>
              <w:rPr>
                <w:rFonts w:hint="eastAsia" w:ascii="仿宋_GB2312" w:hAnsi="仿宋_GB2312" w:eastAsia="仿宋_GB2312" w:cs="仿宋_GB2312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bidi="ar"/>
              </w:rPr>
              <w:t>1.中共党员，政治立场坚定，熟悉党的路线方针政策，具备较高的党性修养；</w:t>
            </w:r>
          </w:p>
          <w:p w14:paraId="391F17F4">
            <w:pPr>
              <w:widowControl/>
              <w:jc w:val="left"/>
              <w:rPr>
                <w:rFonts w:hint="eastAsia" w:ascii="仿宋_GB2312" w:hAnsi="仿宋_GB2312" w:eastAsia="仿宋_GB2312" w:cs="仿宋_GB2312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bidi="ar"/>
              </w:rPr>
              <w:t>2.全日制本科及以上学历，并取得相应学位证书。具有2年及以上工作经验。</w:t>
            </w:r>
          </w:p>
          <w:p w14:paraId="65F82983">
            <w:pPr>
              <w:widowControl/>
              <w:jc w:val="left"/>
              <w:rPr>
                <w:rFonts w:hint="eastAsia" w:ascii="仿宋_GB2312" w:hAnsi="仿宋_GB2312" w:eastAsia="仿宋_GB2312" w:cs="仿宋_GB2312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bidi="ar"/>
              </w:rPr>
              <w:t>3.具备扎实的文字功底，能独立完成党建公文、总结报告等材料撰写；熟练使用办公软件，具有较强的组织协调、沟通表达及跨部门协作能力；</w:t>
            </w:r>
          </w:p>
          <w:p w14:paraId="55D92E4A">
            <w:pPr>
              <w:widowControl/>
              <w:jc w:val="left"/>
              <w:rPr>
                <w:rFonts w:hint="eastAsia" w:ascii="仿宋_GB2312" w:hAnsi="仿宋_GB2312" w:eastAsia="仿宋_GB2312" w:cs="仿宋_GB2312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bidi="ar"/>
              </w:rPr>
              <w:t>4.责任心强，工作作风严谨细致，具备良好的大局意识、服务意识和团队协作精神，能承受一定工作压力。</w:t>
            </w:r>
          </w:p>
        </w:tc>
      </w:tr>
      <w:tr w14:paraId="18BDAB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4" w:hRule="atLeast"/>
          <w:jc w:val="center"/>
        </w:trPr>
        <w:tc>
          <w:tcPr>
            <w:tcW w:w="740" w:type="dxa"/>
            <w:shd w:val="clear" w:color="auto" w:fill="auto"/>
            <w:vAlign w:val="center"/>
          </w:tcPr>
          <w:p w14:paraId="065A3579">
            <w:pPr>
              <w:widowControl/>
              <w:jc w:val="center"/>
              <w:rPr>
                <w:rFonts w:hint="eastAsia" w:ascii="仿宋_GB2312" w:hAnsi="仿宋_GB2312" w:eastAsia="仿宋_GB2312" w:cs="仿宋_GB2312"/>
                <w:szCs w:val="21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 w:bidi="ar"/>
              </w:rPr>
              <w:t>6</w:t>
            </w:r>
          </w:p>
        </w:tc>
        <w:tc>
          <w:tcPr>
            <w:tcW w:w="769" w:type="dxa"/>
            <w:shd w:val="clear" w:color="auto" w:fill="auto"/>
            <w:vAlign w:val="center"/>
          </w:tcPr>
          <w:p w14:paraId="5BA732DF">
            <w:pPr>
              <w:widowControl/>
              <w:jc w:val="center"/>
              <w:rPr>
                <w:rFonts w:hint="eastAsia" w:ascii="仿宋_GB2312" w:hAnsi="仿宋_GB2312" w:eastAsia="仿宋_GB2312" w:cs="仿宋_GB2312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bidi="ar"/>
              </w:rPr>
              <w:t>综合办公室</w:t>
            </w:r>
          </w:p>
        </w:tc>
        <w:tc>
          <w:tcPr>
            <w:tcW w:w="731" w:type="dxa"/>
            <w:shd w:val="clear" w:color="auto" w:fill="auto"/>
            <w:vAlign w:val="center"/>
          </w:tcPr>
          <w:p w14:paraId="0E690231">
            <w:pPr>
              <w:widowControl/>
              <w:jc w:val="center"/>
              <w:rPr>
                <w:rFonts w:hint="eastAsia" w:ascii="仿宋_GB2312" w:hAnsi="仿宋_GB2312" w:eastAsia="仿宋_GB2312" w:cs="仿宋_GB2312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bidi="ar"/>
              </w:rPr>
              <w:t>信息管理岗</w:t>
            </w:r>
          </w:p>
        </w:tc>
        <w:tc>
          <w:tcPr>
            <w:tcW w:w="769" w:type="dxa"/>
            <w:shd w:val="clear" w:color="auto" w:fill="auto"/>
            <w:vAlign w:val="center"/>
          </w:tcPr>
          <w:p w14:paraId="1C6CF4A9">
            <w:pPr>
              <w:widowControl/>
              <w:jc w:val="center"/>
              <w:rPr>
                <w:rFonts w:hint="eastAsia" w:ascii="仿宋_GB2312" w:hAnsi="仿宋_GB2312" w:eastAsia="仿宋_GB2312" w:cs="仿宋_GB2312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bidi="ar"/>
              </w:rPr>
              <w:t>专业序列</w:t>
            </w:r>
          </w:p>
        </w:tc>
        <w:tc>
          <w:tcPr>
            <w:tcW w:w="712" w:type="dxa"/>
            <w:shd w:val="clear" w:color="auto" w:fill="auto"/>
            <w:vAlign w:val="center"/>
          </w:tcPr>
          <w:p w14:paraId="2CE46161">
            <w:pPr>
              <w:widowControl/>
              <w:jc w:val="center"/>
              <w:rPr>
                <w:rFonts w:hint="eastAsia" w:ascii="仿宋_GB2312" w:hAnsi="仿宋_GB2312" w:eastAsia="仿宋_GB2312" w:cs="仿宋_GB2312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bidi="ar"/>
              </w:rPr>
              <w:t>专业主管/专业经理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5BE0DBAD">
            <w:pPr>
              <w:widowControl/>
              <w:jc w:val="center"/>
              <w:rPr>
                <w:rFonts w:hint="eastAsia" w:ascii="仿宋_GB2312" w:hAnsi="仿宋_GB2312" w:eastAsia="仿宋_GB2312" w:cs="仿宋_GB2312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bidi="ar"/>
              </w:rPr>
              <w:t>1</w:t>
            </w:r>
          </w:p>
        </w:tc>
        <w:tc>
          <w:tcPr>
            <w:tcW w:w="5062" w:type="dxa"/>
            <w:vAlign w:val="center"/>
          </w:tcPr>
          <w:p w14:paraId="7A42970C">
            <w:pPr>
              <w:widowControl/>
              <w:jc w:val="left"/>
              <w:rPr>
                <w:rFonts w:hint="eastAsia" w:ascii="仿宋_GB2312" w:hAnsi="仿宋_GB2312" w:eastAsia="仿宋_GB2312" w:cs="仿宋_GB2312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bidi="ar"/>
              </w:rPr>
              <w:t>1.负责与项目公司建立日常沟通机制，跟踪项目开发、部署、调试各阶段进度，定期汇总项目执行情况，协调解决分包过程中出现的技术对接、资源协调等问题，确保项目按计划推进；</w:t>
            </w:r>
          </w:p>
          <w:p w14:paraId="3A142FBC">
            <w:pPr>
              <w:widowControl/>
              <w:jc w:val="left"/>
              <w:rPr>
                <w:rFonts w:hint="eastAsia" w:ascii="仿宋_GB2312" w:hAnsi="仿宋_GB2312" w:eastAsia="仿宋_GB2312" w:cs="仿宋_GB2312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bidi="ar"/>
              </w:rPr>
              <w:t>2.依据合同约定及技术规范，组织对分包公司交付的IT软件系统（如功能完整性、稳定性、兼容性）和硬件设备（如型号规格、性能参数、运行状态）开展验收工作，编制验收报告，对不符合要求的交付物提出整改意见并跟踪闭环；</w:t>
            </w:r>
          </w:p>
          <w:p w14:paraId="6628C38B">
            <w:pPr>
              <w:widowControl/>
              <w:jc w:val="left"/>
              <w:rPr>
                <w:rFonts w:hint="eastAsia" w:ascii="仿宋_GB2312" w:hAnsi="仿宋_GB2312" w:eastAsia="仿宋_GB2312" w:cs="仿宋_GB2312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bidi="ar"/>
              </w:rPr>
              <w:t>3.项目验收后，负责对接项目公司处理系统运行中出现的技术故障、功能优化等运维需求，协调项目公司及时响应并解决问题，定期评估运维服务质量，提出改进建议；</w:t>
            </w:r>
          </w:p>
          <w:p w14:paraId="1EFFA676">
            <w:pPr>
              <w:widowControl/>
              <w:jc w:val="left"/>
              <w:rPr>
                <w:rFonts w:hint="eastAsia" w:ascii="仿宋_GB2312" w:hAnsi="仿宋_GB2312" w:eastAsia="仿宋_GB2312" w:cs="仿宋_GB2312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bidi="ar"/>
              </w:rPr>
              <w:t>4.配合完成项目结算所需的验收凭证整理与提交工作。</w:t>
            </w:r>
          </w:p>
        </w:tc>
        <w:tc>
          <w:tcPr>
            <w:tcW w:w="4594" w:type="dxa"/>
            <w:vAlign w:val="center"/>
          </w:tcPr>
          <w:p w14:paraId="1DA12376">
            <w:pPr>
              <w:widowControl/>
              <w:jc w:val="left"/>
              <w:rPr>
                <w:rFonts w:hint="eastAsia" w:ascii="仿宋_GB2312" w:hAnsi="仿宋_GB2312" w:eastAsia="仿宋_GB2312" w:cs="仿宋_GB2312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bidi="ar"/>
              </w:rPr>
              <w:t>1.中共党员优先；</w:t>
            </w:r>
          </w:p>
          <w:p w14:paraId="5C9232EA">
            <w:pPr>
              <w:widowControl/>
              <w:jc w:val="left"/>
              <w:rPr>
                <w:rFonts w:hint="eastAsia" w:ascii="仿宋_GB2312" w:hAnsi="仿宋_GB2312" w:eastAsia="仿宋_GB2312" w:cs="仿宋_GB2312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bidi="ar"/>
              </w:rPr>
              <w:t>2.全日制本科及以上学历，并取得相应学位证书；计算机科学、信息管理、软件工程、网络工程等相关专业优先，具备信息技术领域基础知识；</w:t>
            </w:r>
          </w:p>
          <w:p w14:paraId="1C690C9B">
            <w:pPr>
              <w:widowControl/>
              <w:jc w:val="left"/>
              <w:rPr>
                <w:rFonts w:hint="eastAsia" w:ascii="仿宋_GB2312" w:hAnsi="仿宋_GB2312" w:eastAsia="仿宋_GB2312" w:cs="仿宋_GB2312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bidi="ar"/>
              </w:rPr>
              <w:t>3.5年及以上IT项目管理、系统运维或技术对接相关工作经验，有对接外部供应商、参与项目验收经验者优先，熟悉IT软硬件项目实施流程；</w:t>
            </w:r>
          </w:p>
          <w:p w14:paraId="0B906DF3">
            <w:pPr>
              <w:widowControl/>
              <w:jc w:val="left"/>
              <w:rPr>
                <w:rFonts w:hint="eastAsia" w:ascii="仿宋_GB2312" w:hAnsi="仿宋_GB2312" w:eastAsia="仿宋_GB2312" w:cs="仿宋_GB2312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bidi="ar"/>
              </w:rPr>
              <w:t>4.了解常见IT软件系统架构、数据库及硬件设备（如服务器、网络设备）的基本原理，能看懂技术方案，具备基础的故障排查能力，熟练使用办公软件及项目管理工具。</w:t>
            </w:r>
          </w:p>
          <w:p w14:paraId="35B55FBA">
            <w:pPr>
              <w:widowControl/>
              <w:jc w:val="left"/>
              <w:rPr>
                <w:rFonts w:hint="eastAsia" w:ascii="仿宋_GB2312" w:hAnsi="仿宋_GB2312" w:eastAsia="仿宋_GB2312" w:cs="仿宋_GB2312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bidi="ar"/>
              </w:rPr>
              <w:t>5.工作严谨细致，具备较强的沟通协调能力，能清晰地传达需求并推动分包方落实；具备责任心与风险意识，能严格把控项目质量与合规性；</w:t>
            </w:r>
          </w:p>
        </w:tc>
      </w:tr>
    </w:tbl>
    <w:p w14:paraId="27A2D461">
      <w:pPr>
        <w:widowControl/>
        <w:jc w:val="left"/>
        <w:rPr>
          <w:rFonts w:ascii="仿宋_GB2312" w:hAnsi="仿宋_GB2312" w:eastAsia="仿宋_GB2312" w:cs="仿宋_GB2312"/>
          <w:sz w:val="32"/>
          <w:szCs w:val="32"/>
          <w:lang w:bidi="ar"/>
        </w:rPr>
      </w:pPr>
    </w:p>
    <w:sectPr>
      <w:pgSz w:w="15840" w:h="12240" w:orient="landscape"/>
      <w:pgMar w:top="1440" w:right="1800" w:bottom="1440" w:left="1800" w:header="720" w:footer="72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73385D20-10F1-454B-9BAC-2EAD2E4631A2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6CC1119A-7C67-4677-BAED-F283C0A20809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6CF544E"/>
    <w:rsid w:val="000160E5"/>
    <w:rsid w:val="001021EC"/>
    <w:rsid w:val="00242CAD"/>
    <w:rsid w:val="00294809"/>
    <w:rsid w:val="00456230"/>
    <w:rsid w:val="00477132"/>
    <w:rsid w:val="00566A32"/>
    <w:rsid w:val="00710843"/>
    <w:rsid w:val="00750247"/>
    <w:rsid w:val="007C5AFD"/>
    <w:rsid w:val="008C2E8F"/>
    <w:rsid w:val="008E0C5A"/>
    <w:rsid w:val="00922572"/>
    <w:rsid w:val="009A4E80"/>
    <w:rsid w:val="00AF49BB"/>
    <w:rsid w:val="00B02520"/>
    <w:rsid w:val="00B118FA"/>
    <w:rsid w:val="00B55F34"/>
    <w:rsid w:val="00BD097E"/>
    <w:rsid w:val="00D00D91"/>
    <w:rsid w:val="00E475DE"/>
    <w:rsid w:val="00F33087"/>
    <w:rsid w:val="016143FE"/>
    <w:rsid w:val="02380E83"/>
    <w:rsid w:val="02C10E79"/>
    <w:rsid w:val="02D2752A"/>
    <w:rsid w:val="033C2BF5"/>
    <w:rsid w:val="034B2E38"/>
    <w:rsid w:val="034B4BE6"/>
    <w:rsid w:val="037979A5"/>
    <w:rsid w:val="03B64756"/>
    <w:rsid w:val="03BC7892"/>
    <w:rsid w:val="0433224A"/>
    <w:rsid w:val="04457DEF"/>
    <w:rsid w:val="044E0E32"/>
    <w:rsid w:val="04E92909"/>
    <w:rsid w:val="05077A47"/>
    <w:rsid w:val="05263B5D"/>
    <w:rsid w:val="053578FC"/>
    <w:rsid w:val="05675084"/>
    <w:rsid w:val="06330580"/>
    <w:rsid w:val="06871864"/>
    <w:rsid w:val="07AB20F7"/>
    <w:rsid w:val="07CE323B"/>
    <w:rsid w:val="087D7F38"/>
    <w:rsid w:val="08F85810"/>
    <w:rsid w:val="09866C5A"/>
    <w:rsid w:val="09E55D95"/>
    <w:rsid w:val="0A6F66C7"/>
    <w:rsid w:val="0AFA5870"/>
    <w:rsid w:val="0C0D512F"/>
    <w:rsid w:val="0C167EB5"/>
    <w:rsid w:val="0C1939C9"/>
    <w:rsid w:val="0C3721AC"/>
    <w:rsid w:val="0C4F5747"/>
    <w:rsid w:val="0C873133"/>
    <w:rsid w:val="0CBF0B1F"/>
    <w:rsid w:val="0CC2416B"/>
    <w:rsid w:val="0D244E26"/>
    <w:rsid w:val="0D2A3ABE"/>
    <w:rsid w:val="0D813912"/>
    <w:rsid w:val="0D9A50E8"/>
    <w:rsid w:val="0E5434E9"/>
    <w:rsid w:val="0ECA61C4"/>
    <w:rsid w:val="0F0942D3"/>
    <w:rsid w:val="0F6E05DA"/>
    <w:rsid w:val="0F786D63"/>
    <w:rsid w:val="0F7C21DD"/>
    <w:rsid w:val="10750567"/>
    <w:rsid w:val="10B234E3"/>
    <w:rsid w:val="10B262A5"/>
    <w:rsid w:val="110F36F7"/>
    <w:rsid w:val="11360C84"/>
    <w:rsid w:val="11E06E41"/>
    <w:rsid w:val="12F44397"/>
    <w:rsid w:val="13B10710"/>
    <w:rsid w:val="1432607A"/>
    <w:rsid w:val="155E448E"/>
    <w:rsid w:val="1562473D"/>
    <w:rsid w:val="15A646CC"/>
    <w:rsid w:val="15A83D50"/>
    <w:rsid w:val="15D1541F"/>
    <w:rsid w:val="15E9587E"/>
    <w:rsid w:val="164B3423"/>
    <w:rsid w:val="16866209"/>
    <w:rsid w:val="170535D2"/>
    <w:rsid w:val="1787048B"/>
    <w:rsid w:val="178D5376"/>
    <w:rsid w:val="17985E27"/>
    <w:rsid w:val="17EF7B07"/>
    <w:rsid w:val="18027B12"/>
    <w:rsid w:val="180E4708"/>
    <w:rsid w:val="18A14A03"/>
    <w:rsid w:val="18BA4890"/>
    <w:rsid w:val="18F97167"/>
    <w:rsid w:val="19235F91"/>
    <w:rsid w:val="197B7862"/>
    <w:rsid w:val="1A516B2E"/>
    <w:rsid w:val="1A930EF5"/>
    <w:rsid w:val="1ADC5523"/>
    <w:rsid w:val="1B3A5814"/>
    <w:rsid w:val="1B773B95"/>
    <w:rsid w:val="1C3D736A"/>
    <w:rsid w:val="1CA353EC"/>
    <w:rsid w:val="1CAC629E"/>
    <w:rsid w:val="1CCB2BC8"/>
    <w:rsid w:val="1CD81789"/>
    <w:rsid w:val="1D247334"/>
    <w:rsid w:val="1D316AD3"/>
    <w:rsid w:val="1D4806BC"/>
    <w:rsid w:val="1DE026A3"/>
    <w:rsid w:val="1EBF675C"/>
    <w:rsid w:val="1F06438B"/>
    <w:rsid w:val="200D1A0E"/>
    <w:rsid w:val="200F7270"/>
    <w:rsid w:val="2037639D"/>
    <w:rsid w:val="203B0388"/>
    <w:rsid w:val="20401B1F"/>
    <w:rsid w:val="20806EE9"/>
    <w:rsid w:val="20D03823"/>
    <w:rsid w:val="20DD2ECA"/>
    <w:rsid w:val="20FE0493"/>
    <w:rsid w:val="20FF72E4"/>
    <w:rsid w:val="213F1DD6"/>
    <w:rsid w:val="21B06BEA"/>
    <w:rsid w:val="22066450"/>
    <w:rsid w:val="229349A5"/>
    <w:rsid w:val="22995516"/>
    <w:rsid w:val="22BA5BB9"/>
    <w:rsid w:val="22C407E5"/>
    <w:rsid w:val="231B23CF"/>
    <w:rsid w:val="23294AEC"/>
    <w:rsid w:val="23760C08"/>
    <w:rsid w:val="237D2742"/>
    <w:rsid w:val="238E494F"/>
    <w:rsid w:val="246456B0"/>
    <w:rsid w:val="246A0F18"/>
    <w:rsid w:val="24727DCD"/>
    <w:rsid w:val="24EF141E"/>
    <w:rsid w:val="24F627AC"/>
    <w:rsid w:val="252B4B4C"/>
    <w:rsid w:val="25357778"/>
    <w:rsid w:val="257A518B"/>
    <w:rsid w:val="25AB382D"/>
    <w:rsid w:val="25ED0053"/>
    <w:rsid w:val="263F510C"/>
    <w:rsid w:val="264A4D0D"/>
    <w:rsid w:val="266F1DFA"/>
    <w:rsid w:val="269F0C21"/>
    <w:rsid w:val="27C6290A"/>
    <w:rsid w:val="27F8683B"/>
    <w:rsid w:val="27FA6A57"/>
    <w:rsid w:val="28146481"/>
    <w:rsid w:val="28164F13"/>
    <w:rsid w:val="286F2FA1"/>
    <w:rsid w:val="289730BA"/>
    <w:rsid w:val="29324F91"/>
    <w:rsid w:val="29A46C7B"/>
    <w:rsid w:val="2A077209"/>
    <w:rsid w:val="2A3049B2"/>
    <w:rsid w:val="2AC944BF"/>
    <w:rsid w:val="2ACF7F2C"/>
    <w:rsid w:val="2AD20F29"/>
    <w:rsid w:val="2B45623B"/>
    <w:rsid w:val="2BD650E5"/>
    <w:rsid w:val="2C4402A1"/>
    <w:rsid w:val="2CC413E2"/>
    <w:rsid w:val="2CC82C80"/>
    <w:rsid w:val="2D5664DE"/>
    <w:rsid w:val="2E156399"/>
    <w:rsid w:val="2E2C723F"/>
    <w:rsid w:val="2E84707B"/>
    <w:rsid w:val="2ED31DB0"/>
    <w:rsid w:val="2EED4C20"/>
    <w:rsid w:val="2F3E191F"/>
    <w:rsid w:val="2F8A06C1"/>
    <w:rsid w:val="303F594F"/>
    <w:rsid w:val="30633E8C"/>
    <w:rsid w:val="30E16A06"/>
    <w:rsid w:val="30E9492D"/>
    <w:rsid w:val="316F4012"/>
    <w:rsid w:val="317433D6"/>
    <w:rsid w:val="318849C2"/>
    <w:rsid w:val="321B7CF6"/>
    <w:rsid w:val="322A3648"/>
    <w:rsid w:val="322A7EFC"/>
    <w:rsid w:val="3237618E"/>
    <w:rsid w:val="323B5CA2"/>
    <w:rsid w:val="324F174E"/>
    <w:rsid w:val="32943604"/>
    <w:rsid w:val="32CE4D68"/>
    <w:rsid w:val="32F444B2"/>
    <w:rsid w:val="330427FC"/>
    <w:rsid w:val="33501C68"/>
    <w:rsid w:val="33A8380B"/>
    <w:rsid w:val="33B45D0C"/>
    <w:rsid w:val="33D20888"/>
    <w:rsid w:val="33D26ADA"/>
    <w:rsid w:val="340D18C0"/>
    <w:rsid w:val="34727975"/>
    <w:rsid w:val="34EB7E53"/>
    <w:rsid w:val="354A1D37"/>
    <w:rsid w:val="356A4636"/>
    <w:rsid w:val="35B069A7"/>
    <w:rsid w:val="35FB2318"/>
    <w:rsid w:val="362058DB"/>
    <w:rsid w:val="36AB1EB1"/>
    <w:rsid w:val="36EE123E"/>
    <w:rsid w:val="37643EED"/>
    <w:rsid w:val="383218F5"/>
    <w:rsid w:val="3854293D"/>
    <w:rsid w:val="38D66725"/>
    <w:rsid w:val="3971644D"/>
    <w:rsid w:val="39AE31FE"/>
    <w:rsid w:val="39BD1693"/>
    <w:rsid w:val="39D013C6"/>
    <w:rsid w:val="39D569DC"/>
    <w:rsid w:val="39DA5D11"/>
    <w:rsid w:val="39E15381"/>
    <w:rsid w:val="39F52FDB"/>
    <w:rsid w:val="3AB24F6F"/>
    <w:rsid w:val="3AD969A0"/>
    <w:rsid w:val="3B037579"/>
    <w:rsid w:val="3B284357"/>
    <w:rsid w:val="3B9D1B2B"/>
    <w:rsid w:val="3C2854E9"/>
    <w:rsid w:val="3CD45671"/>
    <w:rsid w:val="3CD613E9"/>
    <w:rsid w:val="3CF67395"/>
    <w:rsid w:val="3D6A38DF"/>
    <w:rsid w:val="3D6E33D0"/>
    <w:rsid w:val="3D7D1865"/>
    <w:rsid w:val="3D7D7AB7"/>
    <w:rsid w:val="406E1939"/>
    <w:rsid w:val="410F0A26"/>
    <w:rsid w:val="41653C86"/>
    <w:rsid w:val="418A6944"/>
    <w:rsid w:val="42641245"/>
    <w:rsid w:val="432F3601"/>
    <w:rsid w:val="438F40A0"/>
    <w:rsid w:val="43A005B4"/>
    <w:rsid w:val="43B107EB"/>
    <w:rsid w:val="43F02873"/>
    <w:rsid w:val="44071E88"/>
    <w:rsid w:val="447A4003"/>
    <w:rsid w:val="44AC2A30"/>
    <w:rsid w:val="44BC2C73"/>
    <w:rsid w:val="452B429C"/>
    <w:rsid w:val="455B692F"/>
    <w:rsid w:val="462E4787"/>
    <w:rsid w:val="4662784A"/>
    <w:rsid w:val="467C4DAF"/>
    <w:rsid w:val="477C0DDF"/>
    <w:rsid w:val="4792415F"/>
    <w:rsid w:val="47975C19"/>
    <w:rsid w:val="47BC567F"/>
    <w:rsid w:val="47CD33E9"/>
    <w:rsid w:val="48141018"/>
    <w:rsid w:val="4828061F"/>
    <w:rsid w:val="48C308D3"/>
    <w:rsid w:val="4913109E"/>
    <w:rsid w:val="49970B50"/>
    <w:rsid w:val="49F27137"/>
    <w:rsid w:val="4A0D5D1E"/>
    <w:rsid w:val="4A315EB1"/>
    <w:rsid w:val="4ADB7BCB"/>
    <w:rsid w:val="4AF241A0"/>
    <w:rsid w:val="4B814C16"/>
    <w:rsid w:val="4B99566E"/>
    <w:rsid w:val="4BA6467C"/>
    <w:rsid w:val="4BC30D8B"/>
    <w:rsid w:val="4C770EE0"/>
    <w:rsid w:val="4C7C718B"/>
    <w:rsid w:val="4C9149E5"/>
    <w:rsid w:val="4CCC0113"/>
    <w:rsid w:val="4CFB09F8"/>
    <w:rsid w:val="4D0A4170"/>
    <w:rsid w:val="4D1142B0"/>
    <w:rsid w:val="4DAB1AD6"/>
    <w:rsid w:val="4E802F63"/>
    <w:rsid w:val="4E916209"/>
    <w:rsid w:val="4E994025"/>
    <w:rsid w:val="4F0679B3"/>
    <w:rsid w:val="4F1162B1"/>
    <w:rsid w:val="4FAE1D52"/>
    <w:rsid w:val="4FE65048"/>
    <w:rsid w:val="4FFA0AF3"/>
    <w:rsid w:val="502C1D2E"/>
    <w:rsid w:val="507E34D2"/>
    <w:rsid w:val="508833EE"/>
    <w:rsid w:val="51B82A14"/>
    <w:rsid w:val="51E90E1F"/>
    <w:rsid w:val="51F36142"/>
    <w:rsid w:val="51F53C68"/>
    <w:rsid w:val="520707E8"/>
    <w:rsid w:val="52C31BE6"/>
    <w:rsid w:val="52ED535B"/>
    <w:rsid w:val="53426A39"/>
    <w:rsid w:val="537B019D"/>
    <w:rsid w:val="537D2167"/>
    <w:rsid w:val="53DA3115"/>
    <w:rsid w:val="53F02939"/>
    <w:rsid w:val="53F12DDC"/>
    <w:rsid w:val="540C7047"/>
    <w:rsid w:val="541505F1"/>
    <w:rsid w:val="547F1F0F"/>
    <w:rsid w:val="54AF6350"/>
    <w:rsid w:val="54BA0A2E"/>
    <w:rsid w:val="54BC6CBF"/>
    <w:rsid w:val="54C142D5"/>
    <w:rsid w:val="5544631E"/>
    <w:rsid w:val="55FE57CA"/>
    <w:rsid w:val="569D042A"/>
    <w:rsid w:val="56BD7551"/>
    <w:rsid w:val="56CD6F61"/>
    <w:rsid w:val="56F75D8C"/>
    <w:rsid w:val="57315742"/>
    <w:rsid w:val="58810003"/>
    <w:rsid w:val="590840E1"/>
    <w:rsid w:val="591C41D0"/>
    <w:rsid w:val="59AF294E"/>
    <w:rsid w:val="5AD14B32"/>
    <w:rsid w:val="5B4E6197"/>
    <w:rsid w:val="5B5639C9"/>
    <w:rsid w:val="5B8F6EDB"/>
    <w:rsid w:val="5BA858A7"/>
    <w:rsid w:val="5BCA7F13"/>
    <w:rsid w:val="5BF136F2"/>
    <w:rsid w:val="5BF44F90"/>
    <w:rsid w:val="5C573517"/>
    <w:rsid w:val="5CB14C2F"/>
    <w:rsid w:val="5CDA5F34"/>
    <w:rsid w:val="5D5A52C7"/>
    <w:rsid w:val="5D7E1A33"/>
    <w:rsid w:val="5DE26F46"/>
    <w:rsid w:val="5DE3706A"/>
    <w:rsid w:val="5E48511F"/>
    <w:rsid w:val="5E6A778C"/>
    <w:rsid w:val="5EA06D09"/>
    <w:rsid w:val="5EA70098"/>
    <w:rsid w:val="5ED2780B"/>
    <w:rsid w:val="5ED30E8D"/>
    <w:rsid w:val="5EF332DD"/>
    <w:rsid w:val="5F6F8145"/>
    <w:rsid w:val="601F4CDA"/>
    <w:rsid w:val="60670842"/>
    <w:rsid w:val="60B66CA1"/>
    <w:rsid w:val="60F021CA"/>
    <w:rsid w:val="610C0686"/>
    <w:rsid w:val="613D1187"/>
    <w:rsid w:val="6148257C"/>
    <w:rsid w:val="61B52ACC"/>
    <w:rsid w:val="61E84C4F"/>
    <w:rsid w:val="623E0D13"/>
    <w:rsid w:val="630A2FF5"/>
    <w:rsid w:val="63957059"/>
    <w:rsid w:val="63ED0784"/>
    <w:rsid w:val="63F136AB"/>
    <w:rsid w:val="64115C47"/>
    <w:rsid w:val="64287ECD"/>
    <w:rsid w:val="64F80D33"/>
    <w:rsid w:val="64FB2EEB"/>
    <w:rsid w:val="65037FF2"/>
    <w:rsid w:val="652F2B95"/>
    <w:rsid w:val="656D6C3F"/>
    <w:rsid w:val="657B402C"/>
    <w:rsid w:val="65B31A18"/>
    <w:rsid w:val="65E70BEF"/>
    <w:rsid w:val="66173D55"/>
    <w:rsid w:val="666432A3"/>
    <w:rsid w:val="66952ECC"/>
    <w:rsid w:val="685E5C6B"/>
    <w:rsid w:val="68AA7FC8"/>
    <w:rsid w:val="6A0006F1"/>
    <w:rsid w:val="6A845731"/>
    <w:rsid w:val="6A85721E"/>
    <w:rsid w:val="6A8947B4"/>
    <w:rsid w:val="6A927E4E"/>
    <w:rsid w:val="6AB724ED"/>
    <w:rsid w:val="6B2919A8"/>
    <w:rsid w:val="6B7439F8"/>
    <w:rsid w:val="6B8359E9"/>
    <w:rsid w:val="6C94077E"/>
    <w:rsid w:val="6CB462B5"/>
    <w:rsid w:val="6D741A8D"/>
    <w:rsid w:val="6DFD7CD4"/>
    <w:rsid w:val="6E414065"/>
    <w:rsid w:val="6E973CCD"/>
    <w:rsid w:val="6EAE5FCA"/>
    <w:rsid w:val="6EC5724B"/>
    <w:rsid w:val="6EF03395"/>
    <w:rsid w:val="6EF30A38"/>
    <w:rsid w:val="6EF56BFD"/>
    <w:rsid w:val="6F481423"/>
    <w:rsid w:val="6F751AEC"/>
    <w:rsid w:val="6FEA4288"/>
    <w:rsid w:val="710D6480"/>
    <w:rsid w:val="71681909"/>
    <w:rsid w:val="717958C4"/>
    <w:rsid w:val="71FB7223"/>
    <w:rsid w:val="720553A9"/>
    <w:rsid w:val="725E4ABA"/>
    <w:rsid w:val="736B748E"/>
    <w:rsid w:val="737F118B"/>
    <w:rsid w:val="73927235"/>
    <w:rsid w:val="741A1EAA"/>
    <w:rsid w:val="748A0219"/>
    <w:rsid w:val="74F02341"/>
    <w:rsid w:val="750C6A4F"/>
    <w:rsid w:val="753366D1"/>
    <w:rsid w:val="75874327"/>
    <w:rsid w:val="7589009F"/>
    <w:rsid w:val="75C17839"/>
    <w:rsid w:val="75E63744"/>
    <w:rsid w:val="76426BCC"/>
    <w:rsid w:val="764A5A81"/>
    <w:rsid w:val="76830F93"/>
    <w:rsid w:val="76852F5D"/>
    <w:rsid w:val="7691545E"/>
    <w:rsid w:val="769D3E02"/>
    <w:rsid w:val="76AD6026"/>
    <w:rsid w:val="771A5453"/>
    <w:rsid w:val="774150D6"/>
    <w:rsid w:val="775E1FD5"/>
    <w:rsid w:val="77B70EF4"/>
    <w:rsid w:val="78085BF3"/>
    <w:rsid w:val="78152C88"/>
    <w:rsid w:val="782567A5"/>
    <w:rsid w:val="785B0BF1"/>
    <w:rsid w:val="78850FF2"/>
    <w:rsid w:val="789A6244"/>
    <w:rsid w:val="78B13B95"/>
    <w:rsid w:val="78BD69DE"/>
    <w:rsid w:val="78C465D7"/>
    <w:rsid w:val="78D000BF"/>
    <w:rsid w:val="791D56CF"/>
    <w:rsid w:val="792C3B64"/>
    <w:rsid w:val="79927E6B"/>
    <w:rsid w:val="79BA116F"/>
    <w:rsid w:val="7A150154"/>
    <w:rsid w:val="7A20580B"/>
    <w:rsid w:val="7A5E1AFB"/>
    <w:rsid w:val="7A7D43B5"/>
    <w:rsid w:val="7A923E9A"/>
    <w:rsid w:val="7A94551C"/>
    <w:rsid w:val="7AB61937"/>
    <w:rsid w:val="7B617E3E"/>
    <w:rsid w:val="7B641393"/>
    <w:rsid w:val="7BFD732A"/>
    <w:rsid w:val="7C887303"/>
    <w:rsid w:val="7CCD2F68"/>
    <w:rsid w:val="7CEA58C8"/>
    <w:rsid w:val="7D142945"/>
    <w:rsid w:val="7D43322A"/>
    <w:rsid w:val="7D454D96"/>
    <w:rsid w:val="7D470F6C"/>
    <w:rsid w:val="7D831C9C"/>
    <w:rsid w:val="7D873408"/>
    <w:rsid w:val="7E4E1E86"/>
    <w:rsid w:val="7EF7251E"/>
    <w:rsid w:val="7FC71EF0"/>
    <w:rsid w:val="CDD58B1F"/>
    <w:rsid w:val="D6CF5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9e01baf6-7b9b-4a24-be0a-5b909bd84a72</errorID>
      <errorWord>至少有统筹管理3个或3个以上</errorWord>
      <group>L1_Grammar</group>
      <groupName>语法问题</groupName>
      <ability>L2_Grammar</ability>
      <abilityName>语法错误</abilityName>
      <candidateList>
        <item>至少有统筹管理3个或3个</item>
      </candidateList>
      <explain/>
      <paraID>48DA07F8</paraID>
      <start>25</start>
      <end>39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0bfaadec-d9c6-40a2-97d0-43312caaa04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3419</Words>
  <Characters>3503</Characters>
  <Lines>27</Lines>
  <Paragraphs>7</Paragraphs>
  <TotalTime>3</TotalTime>
  <ScaleCrop>false</ScaleCrop>
  <LinksUpToDate>false</LinksUpToDate>
  <CharactersWithSpaces>3506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2024-03-28T17:13:00Z</dcterms:created>
  <dc:creator>123</dc:creator>
  <cp:lastModifiedBy>ououou</cp:lastModifiedBy>
  <dcterms:modified xsi:type="dcterms:W3CDTF">2026-04-24T08:40:06Z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C25E875A2DD248309321EF4319062CC8_13</vt:lpwstr>
  </property>
  <property fmtid="{D5CDD505-2E9C-101B-9397-08002B2CF9AE}" pid="4" name="KSOTemplateDocerSaveRecord">
    <vt:lpwstr>eyJoZGlkIjoiODBiZGM4MDI4ZjViNTlhNzNlNWM5YTE1NDgyMWFkMTMiLCJ1c2VySWQiOiIyMTYwNDAwNTMifQ==</vt:lpwstr>
  </property>
</Properties>
</file>