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both"/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附件</w:t>
      </w: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肇庆</w:t>
      </w: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</w:rPr>
        <w:t>市</w:t>
      </w: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自然资源</w:t>
      </w: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</w:rPr>
        <w:t>局选聘</w:t>
      </w: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常年</w:t>
      </w: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</w:rPr>
        <w:t>法律顾问</w:t>
      </w: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</w:t>
      </w:r>
      <w:r>
        <w:rPr>
          <w:rStyle w:val="5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shd w:val="clear" w:fill="FFFFFF"/>
        </w:rPr>
        <w:t>报名表</w:t>
      </w:r>
    </w:p>
    <w:tbl>
      <w:tblPr>
        <w:tblStyle w:val="3"/>
        <w:tblW w:w="864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8"/>
        <w:gridCol w:w="1725"/>
        <w:gridCol w:w="975"/>
        <w:gridCol w:w="1455"/>
        <w:gridCol w:w="209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2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律师事务所名称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20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律所律师的数量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住所地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720" w:firstLineChars="30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720" w:firstLineChars="30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方式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4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信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4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23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4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律师事务所获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表彰情况</w:t>
            </w: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主持或参与重大涉法事务情况</w:t>
            </w: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为行政机关提供法律顾问服务的情况</w:t>
            </w: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律师事务所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确认盖章</w:t>
            </w: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（在此栏还需承诺律师事务所及所内律师无刑事犯罪记录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年内没有受过司法行政部门处罚及行业协会纪律处分）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　　　　　　　　　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3600" w:firstLineChars="150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 年　 月　 日</w:t>
            </w:r>
          </w:p>
        </w:tc>
      </w:tr>
    </w:tbl>
    <w:p/>
    <w:p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WIxNDEwZDY2MGI0ODVmZDAyZTE0NTljMjQ3ZGYifQ=="/>
  </w:docVars>
  <w:rsids>
    <w:rsidRoot w:val="0E913DD6"/>
    <w:rsid w:val="0E913DD6"/>
    <w:rsid w:val="23B20626"/>
    <w:rsid w:val="2CD33131"/>
    <w:rsid w:val="44BE4A7F"/>
    <w:rsid w:val="54691DD7"/>
    <w:rsid w:val="7CB46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2020-12-25T15:09:00Z</dcterms:created>
  <dc:creator>廖玉玲</dc:creator>
  <cp:lastModifiedBy>尹惠子</cp:lastModifiedBy>
  <dcterms:modified xsi:type="dcterms:W3CDTF">2026-04-02T08:33:41Z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9930BE7A6501477E89445CD98819138D_12</vt:lpwstr>
  </property>
</Properties>
</file>