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80" w:lineRule="exact"/>
        <w:jc w:val="both"/>
        <w:rPr>
          <w:rFonts w:hint="default" w:ascii="Times New Roman" w:hAnsi="Times New Roman" w:eastAsia="黑体" w:cs="Times New Roman"/>
          <w:b w:val="0"/>
          <w:i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i w:val="0"/>
          <w:color w:val="000000" w:themeColor="text1"/>
          <w:kern w:val="2"/>
          <w:sz w:val="32"/>
          <w:szCs w:val="32"/>
          <w:highlight w:val="none"/>
          <w:lang w:val="en-US" w:eastAsia="zh-CN" w:bidi="ar-SA"/>
          <w14:textFill>
            <w14:solidFill>
              <w14:schemeClr w14:val="tx1"/>
            </w14:solidFill>
          </w14:textFill>
        </w:rPr>
        <w:t>附件</w:t>
      </w:r>
      <w:r>
        <w:rPr>
          <w:rFonts w:hint="default" w:ascii="Times New Roman" w:hAnsi="Times New Roman" w:eastAsia="黑体" w:cs="Times New Roman"/>
          <w:b w:val="0"/>
          <w:bCs w:val="0"/>
          <w:i w:val="0"/>
          <w:iCs w:val="0"/>
          <w:color w:val="000000" w:themeColor="text1"/>
          <w:kern w:val="2"/>
          <w:sz w:val="32"/>
          <w:szCs w:val="28"/>
          <w:highlight w:val="none"/>
          <w:lang w:val="en-US" w:eastAsia="zh-CN" w:bidi="ar-SA"/>
          <w14:textFill>
            <w14:solidFill>
              <w14:schemeClr w14:val="tx1"/>
            </w14:solidFill>
          </w14:textFill>
        </w:rPr>
        <w:t>3</w:t>
      </w:r>
    </w:p>
    <w:p>
      <w:pPr>
        <w:pStyle w:val="4"/>
        <w:keepNext w:val="0"/>
        <w:keepLines w:val="0"/>
        <w:pageBreakBefore w:val="0"/>
        <w:widowControl w:val="0"/>
        <w:kinsoku/>
        <w:wordWrap/>
        <w:overflowPunct/>
        <w:topLinePunct w:val="0"/>
        <w:autoSpaceDE/>
        <w:autoSpaceDN/>
        <w:bidi w:val="0"/>
        <w:adjustRightInd/>
        <w:snapToGrid/>
        <w:spacing w:line="580" w:lineRule="exact"/>
        <w:ind w:firstLine="880" w:firstLineChars="200"/>
        <w:jc w:val="left"/>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val="0"/>
          <w:iCs w:val="0"/>
          <w:color w:val="000000" w:themeColor="text1"/>
          <w:kern w:val="2"/>
          <w:sz w:val="44"/>
          <w:szCs w:val="44"/>
          <w:highlight w:val="none"/>
          <w:lang w:val="en-US" w:eastAsia="zh-CN" w:bidi="ar-SA"/>
          <w14:textFill>
            <w14:solidFill>
              <w14:schemeClr w14:val="tx1"/>
            </w14:solidFill>
          </w14:textFill>
        </w:rPr>
        <w:t>2024</w:t>
      </w:r>
      <w:r>
        <w:rPr>
          <w:rFonts w:hint="default" w:ascii="Times New Roman" w:hAnsi="Times New Roman" w:eastAsia="方正小标宋简体" w:cs="Times New Roman"/>
          <w:b w:val="0"/>
          <w:color w:val="000000" w:themeColor="text1"/>
          <w:kern w:val="2"/>
          <w:sz w:val="44"/>
          <w:szCs w:val="44"/>
          <w:highlight w:val="none"/>
          <w:lang w:val="en-US" w:eastAsia="zh-CN" w:bidi="ar-SA"/>
          <w14:textFill>
            <w14:solidFill>
              <w14:schemeClr w14:val="tx1"/>
            </w14:solidFill>
          </w14:textFill>
        </w:rPr>
        <w:t>年</w:t>
      </w:r>
      <w:r>
        <w:rPr>
          <w:rFonts w:hint="default" w:ascii="Times New Roman" w:hAnsi="Times New Roman" w:eastAsia="方正小标宋简体" w:cs="Times New Roman"/>
          <w:b w:val="0"/>
          <w:bCs/>
          <w:color w:val="000000" w:themeColor="text1"/>
          <w:sz w:val="44"/>
          <w:szCs w:val="44"/>
          <w:highlight w:val="none"/>
          <w:lang w:val="en-US" w:eastAsia="zh-CN"/>
          <w14:textFill>
            <w14:solidFill>
              <w14:schemeClr w14:val="tx1"/>
            </w14:solidFill>
          </w14:textFill>
        </w:rPr>
        <w:t>乌海市乌达区幼儿园总量管理控制数公开招聘</w:t>
      </w:r>
      <w:r>
        <w:rPr>
          <w:rFonts w:hint="default" w:ascii="Times New Roman" w:hAnsi="Times New Roman" w:eastAsia="方正小标宋简体" w:cs="Times New Roman"/>
          <w:b w:val="0"/>
          <w:color w:val="000000" w:themeColor="text1"/>
          <w:kern w:val="2"/>
          <w:sz w:val="44"/>
          <w:szCs w:val="44"/>
          <w:highlight w:val="none"/>
          <w:lang w:val="en-US" w:eastAsia="zh-CN" w:bidi="ar-SA"/>
          <w14:textFill>
            <w14:solidFill>
              <w14:schemeClr w14:val="tx1"/>
            </w14:solidFill>
          </w14:textFill>
        </w:rPr>
        <w:t>目录</w:t>
      </w:r>
    </w:p>
    <w:tbl>
      <w:tblPr>
        <w:tblStyle w:val="6"/>
        <w:tblpPr w:leftFromText="180" w:rightFromText="180" w:vertAnchor="text" w:horzAnchor="page" w:tblpX="1218" w:tblpY="266"/>
        <w:tblOverlap w:val="never"/>
        <w:tblW w:w="14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08"/>
        <w:gridCol w:w="540"/>
        <w:gridCol w:w="660"/>
        <w:gridCol w:w="570"/>
        <w:gridCol w:w="1890"/>
        <w:gridCol w:w="645"/>
        <w:gridCol w:w="1200"/>
        <w:gridCol w:w="7350"/>
        <w:gridCol w:w="882"/>
      </w:tblGrid>
      <w:tr>
        <w:tblPrEx>
          <w:tblLayout w:type="fixed"/>
        </w:tblPrEx>
        <w:trPr>
          <w:trHeight w:val="284" w:hRule="atLeast"/>
        </w:trPr>
        <w:tc>
          <w:tcPr>
            <w:tcW w:w="508"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单位</w:t>
            </w:r>
          </w:p>
        </w:tc>
        <w:tc>
          <w:tcPr>
            <w:tcW w:w="54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需求数量</w:t>
            </w:r>
          </w:p>
        </w:tc>
        <w:tc>
          <w:tcPr>
            <w:tcW w:w="66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岗位</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名称</w:t>
            </w:r>
          </w:p>
        </w:tc>
        <w:tc>
          <w:tcPr>
            <w:tcW w:w="570"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岗位</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性质</w:t>
            </w:r>
          </w:p>
        </w:tc>
        <w:tc>
          <w:tcPr>
            <w:tcW w:w="11085" w:type="dxa"/>
            <w:gridSpan w:val="4"/>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岗位要求</w:t>
            </w:r>
          </w:p>
        </w:tc>
        <w:tc>
          <w:tcPr>
            <w:tcW w:w="882"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8"/>
                <w:szCs w:val="28"/>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招聘单位联系电话</w:t>
            </w:r>
          </w:p>
        </w:tc>
      </w:tr>
      <w:tr>
        <w:tblPrEx>
          <w:tblLayout w:type="fixed"/>
        </w:tblPrEx>
        <w:trPr>
          <w:trHeight w:val="920" w:hRule="atLeast"/>
        </w:trPr>
        <w:tc>
          <w:tcPr>
            <w:tcW w:w="508"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p>
        </w:tc>
        <w:tc>
          <w:tcPr>
            <w:tcW w:w="540"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p>
        </w:tc>
        <w:tc>
          <w:tcPr>
            <w:tcW w:w="660"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p>
        </w:tc>
        <w:tc>
          <w:tcPr>
            <w:tcW w:w="570"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p>
        </w:tc>
        <w:tc>
          <w:tcPr>
            <w:tcW w:w="189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w:t>
            </w:r>
          </w:p>
        </w:tc>
        <w:tc>
          <w:tcPr>
            <w:tcW w:w="645"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学历</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p>
        </w:tc>
        <w:tc>
          <w:tcPr>
            <w:tcW w:w="12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是否同意第二学历专业报名</w:t>
            </w:r>
          </w:p>
        </w:tc>
        <w:tc>
          <w:tcPr>
            <w:tcW w:w="735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其他要求</w:t>
            </w:r>
          </w:p>
        </w:tc>
        <w:tc>
          <w:tcPr>
            <w:tcW w:w="882"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8"/>
                <w:szCs w:val="28"/>
                <w:highlight w:val="none"/>
                <w:u w:val="none"/>
                <w:shd w:val="clear" w:color="auto" w:fill="auto"/>
                <w14:textFill>
                  <w14:solidFill>
                    <w14:schemeClr w14:val="tx1"/>
                  </w14:solidFill>
                </w14:textFill>
              </w:rPr>
            </w:pPr>
          </w:p>
        </w:tc>
      </w:tr>
      <w:tr>
        <w:tblPrEx>
          <w:tblLayout w:type="fixed"/>
        </w:tblPrEx>
        <w:trPr>
          <w:trHeight w:val="2025" w:hRule="atLeast"/>
        </w:trPr>
        <w:tc>
          <w:tcPr>
            <w:tcW w:w="508" w:type="dxa"/>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属</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办</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shd w:val="clear" w:color="auto" w:fill="auto"/>
                <w:lang w:val="en-US" w:eastAsia="zh-CN" w:bidi="ar"/>
                <w14:textFill>
                  <w14:solidFill>
                    <w14:schemeClr w14:val="tx1"/>
                  </w14:solidFill>
                </w14:textFill>
              </w:rPr>
              <w:t>园</w:t>
            </w:r>
          </w:p>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仿宋_GB2312" w:cs="Times New Roman"/>
                <w:i w:val="0"/>
                <w:iCs w:val="0"/>
                <w:color w:val="000000" w:themeColor="text1"/>
                <w:sz w:val="24"/>
                <w:szCs w:val="24"/>
                <w:highlight w:val="none"/>
                <w:u w:val="none"/>
                <w:shd w:val="clear" w:color="auto" w:fill="auto"/>
                <w14:textFill>
                  <w14:solidFill>
                    <w14:schemeClr w14:val="tx1"/>
                  </w14:solidFill>
                </w14:textFill>
              </w:rPr>
            </w:pPr>
          </w:p>
        </w:tc>
        <w:tc>
          <w:tcPr>
            <w:tcW w:w="54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val="0"/>
                <w:i w:val="0"/>
                <w:iCs w:val="0"/>
                <w:color w:val="000000" w:themeColor="text1"/>
                <w:sz w:val="21"/>
                <w:szCs w:val="21"/>
                <w:highlight w:val="none"/>
                <w:u w:val="none"/>
                <w:shd w:val="clear" w:color="auto" w:fill="auto"/>
                <w:lang w:val="en-US" w:eastAsia="zh-CN"/>
                <w14:textFill>
                  <w14:solidFill>
                    <w14:schemeClr w14:val="tx1"/>
                  </w14:solidFill>
                </w14:textFill>
              </w:rPr>
              <w:t>34</w:t>
            </w:r>
          </w:p>
        </w:tc>
        <w:tc>
          <w:tcPr>
            <w:tcW w:w="66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教师</w:t>
            </w:r>
          </w:p>
        </w:tc>
        <w:tc>
          <w:tcPr>
            <w:tcW w:w="57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技术</w:t>
            </w:r>
          </w:p>
        </w:tc>
        <w:tc>
          <w:tcPr>
            <w:tcW w:w="1890"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pPr>
            <w:r>
              <w:rPr>
                <w:rFonts w:hint="eastAsia"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专科：学前教育</w:t>
            </w:r>
          </w:p>
          <w:p>
            <w:pPr>
              <w:keepNext w:val="0"/>
              <w:keepLines w:val="0"/>
              <w:pageBreakBefore w:val="0"/>
              <w:kinsoku/>
              <w:wordWrap/>
              <w:overflowPunct/>
              <w:topLinePunct w:val="0"/>
              <w:autoSpaceDE/>
              <w:autoSpaceDN/>
              <w:bidi w:val="0"/>
              <w:adjustRightInd/>
              <w:snapToGrid/>
              <w:spacing w:line="580" w:lineRule="exact"/>
              <w:ind w:firstLine="420" w:firstLineChars="200"/>
              <w:jc w:val="left"/>
              <w:rPr>
                <w:rFonts w:hint="default"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w:t>
            </w:r>
            <w:r>
              <w:rPr>
                <w:rFonts w:hint="eastAsia"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5</w:t>
            </w:r>
            <w:r>
              <w:rPr>
                <w:rFonts w:hint="default"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70102K</w:t>
            </w:r>
            <w:r>
              <w:rPr>
                <w:rFonts w:hint="eastAsia"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left="420" w:hanging="420" w:hangingChars="200"/>
              <w:jc w:val="left"/>
              <w:rPr>
                <w:rFonts w:hint="default"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pPr>
            <w:r>
              <w:rPr>
                <w:rFonts w:hint="eastAsia"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本科：</w:t>
            </w:r>
            <w:r>
              <w:rPr>
                <w:rFonts w:hint="default"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学前教育（040106）</w:t>
            </w: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color w:val="000000" w:themeColor="text1"/>
                <w:sz w:val="21"/>
                <w:szCs w:val="21"/>
                <w:highlight w:val="none"/>
                <w:lang w:val="en-US"/>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研究生：研究生需与本科专业相同或相近</w:t>
            </w: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color w:val="000000" w:themeColor="text1"/>
                <w:sz w:val="21"/>
                <w:szCs w:val="21"/>
                <w:highlight w:val="none"/>
                <w:lang w:val="en-US"/>
                <w14:textFill>
                  <w14:solidFill>
                    <w14:schemeClr w14:val="tx1"/>
                  </w14:solidFill>
                </w14:textFill>
              </w:rPr>
            </w:pPr>
          </w:p>
        </w:tc>
        <w:tc>
          <w:tcPr>
            <w:tcW w:w="645"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b w:val="0"/>
                <w:bCs w:val="0"/>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专科</w:t>
            </w:r>
            <w:r>
              <w:rPr>
                <w:rFonts w:hint="default" w:ascii="Times New Roman" w:hAnsi="Times New Roman" w:eastAsia="仿宋_GB2312" w:cs="Times New Roman"/>
                <w:b w:val="0"/>
                <w:bCs w:val="0"/>
                <w:i w:val="0"/>
                <w:iCs w:val="0"/>
                <w:color w:val="000000" w:themeColor="text1"/>
                <w:sz w:val="21"/>
                <w:szCs w:val="21"/>
                <w:highlight w:val="none"/>
                <w:u w:val="none"/>
                <w14:textFill>
                  <w14:solidFill>
                    <w14:schemeClr w14:val="tx1"/>
                  </w14:solidFill>
                </w14:textFill>
              </w:rPr>
              <w:t xml:space="preserve">及以上学历毕业生；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p>
        </w:tc>
        <w:tc>
          <w:tcPr>
            <w:tcW w:w="120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420" w:firstLineChars="200"/>
              <w:jc w:val="left"/>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否</w:t>
            </w:r>
          </w:p>
        </w:tc>
        <w:tc>
          <w:tcPr>
            <w:tcW w:w="7350"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.具有相应的教师资格证；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 xml:space="preserve">.具有普通话水平测试二级乙等及以上等级证书；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.年龄需在</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18</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周岁以上、</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35</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周岁以下</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，即</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198</w:t>
            </w:r>
            <w:r>
              <w:rPr>
                <w:rFonts w:hint="eastAsia"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8</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9月11日（不含）</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至</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2006</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9月11日（含）</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出生；博士研究生、副高级以上职称人员年龄可适当放宽40周岁以下，即198</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年9月</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11</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日（不含）之后出生的；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4.目前仍在学前教育领域工作的非在编教师，在乌达区学前教育领域连续工作满6年以上，年龄在35周岁以下，即</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198</w:t>
            </w:r>
            <w:r>
              <w:rPr>
                <w:rFonts w:hint="eastAsia"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8</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9月11日（不含）以后出生，同时具有专科及以上学历、幼儿园教师资格证、普通话水平测试二级乙等及以上且获得乌达区区级及以上教育行政部门荣誉的不受专业限制。</w:t>
            </w:r>
          </w:p>
        </w:tc>
        <w:tc>
          <w:tcPr>
            <w:tcW w:w="88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0473</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3666616</w:t>
            </w:r>
          </w:p>
        </w:tc>
      </w:tr>
      <w:tr>
        <w:tblPrEx>
          <w:tblLayout w:type="fixed"/>
        </w:tblPrEx>
        <w:trPr>
          <w:trHeight w:val="3252" w:hRule="atLeast"/>
        </w:trPr>
        <w:tc>
          <w:tcPr>
            <w:tcW w:w="508" w:type="dxa"/>
            <w:vMerge w:val="continue"/>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4"/>
                <w:szCs w:val="24"/>
                <w:highlight w:val="none"/>
                <w:u w:val="none"/>
                <w:shd w:val="clear" w:color="auto" w:fill="auto"/>
                <w14:textFill>
                  <w14:solidFill>
                    <w14:schemeClr w14:val="tx1"/>
                  </w14:solidFill>
                </w14:textFill>
              </w:rPr>
            </w:pPr>
          </w:p>
        </w:tc>
        <w:tc>
          <w:tcPr>
            <w:tcW w:w="540"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ind w:firstLine="210" w:firstLineChars="100"/>
              <w:jc w:val="cente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val="0"/>
                <w:i w:val="0"/>
                <w:iCs w:val="0"/>
                <w:color w:val="000000" w:themeColor="text1"/>
                <w:sz w:val="21"/>
                <w:szCs w:val="21"/>
                <w:highlight w:val="none"/>
                <w:u w:val="none"/>
                <w:shd w:val="clear" w:color="auto" w:fill="auto"/>
                <w:lang w:val="en-US" w:eastAsia="zh-CN"/>
                <w14:textFill>
                  <w14:solidFill>
                    <w14:schemeClr w14:val="tx1"/>
                  </w14:solidFill>
                </w14:textFill>
              </w:rPr>
              <w:t>1</w:t>
            </w:r>
          </w:p>
        </w:tc>
        <w:tc>
          <w:tcPr>
            <w:tcW w:w="660"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财务</w:t>
            </w:r>
          </w:p>
        </w:tc>
        <w:tc>
          <w:tcPr>
            <w:tcW w:w="570"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专业</w:t>
            </w: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技术</w:t>
            </w:r>
          </w:p>
        </w:tc>
        <w:tc>
          <w:tcPr>
            <w:tcW w:w="189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eastAsia"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专科：630301财务管/630302会计学/理/630303审计学</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本科：</w:t>
            </w:r>
            <w:r>
              <w:rPr>
                <w:rFonts w:hint="default" w:ascii="Times New Roman" w:hAnsi="Times New Roman" w:eastAsia="仿宋_GB2312" w:cs="Times New Roman"/>
                <w:bCs w:val="0"/>
                <w:i w:val="0"/>
                <w:iCs w:val="0"/>
                <w:color w:val="000000" w:themeColor="text1"/>
                <w:sz w:val="21"/>
                <w:szCs w:val="21"/>
                <w:highlight w:val="none"/>
                <w:u w:val="none"/>
                <w:shd w:val="clear" w:color="auto" w:fill="auto"/>
                <w:lang w:val="en-US" w:eastAsia="zh-CN"/>
                <w14:textFill>
                  <w14:solidFill>
                    <w14:schemeClr w14:val="tx1"/>
                  </w14:solidFill>
                </w14:textFill>
              </w:rPr>
              <w:t>12020</w:t>
            </w:r>
            <w:r>
              <w:rPr>
                <w:rFonts w:hint="eastAsia" w:eastAsia="仿宋_GB2312" w:cs="Times New Roman"/>
                <w:bCs w:val="0"/>
                <w:i w:val="0"/>
                <w:iCs w:val="0"/>
                <w:color w:val="000000" w:themeColor="text1"/>
                <w:sz w:val="21"/>
                <w:szCs w:val="21"/>
                <w:highlight w:val="none"/>
                <w:u w:val="none"/>
                <w:shd w:val="clear" w:color="auto" w:fill="auto"/>
                <w:lang w:val="en-US" w:eastAsia="zh-CN"/>
                <w14:textFill>
                  <w14:solidFill>
                    <w14:schemeClr w14:val="tx1"/>
                  </w14:solidFill>
                </w14:textFill>
              </w:rPr>
              <w:t>3k</w:t>
            </w: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会计学/</w:t>
            </w:r>
            <w:r>
              <w:rPr>
                <w:rFonts w:hint="default" w:ascii="Times New Roman" w:hAnsi="Times New Roman" w:eastAsia="仿宋_GB2312" w:cs="Times New Roman"/>
                <w:bCs w:val="0"/>
                <w:i w:val="0"/>
                <w:iCs w:val="0"/>
                <w:color w:val="000000" w:themeColor="text1"/>
                <w:sz w:val="21"/>
                <w:szCs w:val="21"/>
                <w:highlight w:val="none"/>
                <w:u w:val="none"/>
                <w:shd w:val="clear" w:color="auto" w:fill="auto"/>
                <w:lang w:val="en-US" w:eastAsia="zh-CN"/>
                <w14:textFill>
                  <w14:solidFill>
                    <w14:schemeClr w14:val="tx1"/>
                  </w14:solidFill>
                </w14:textFill>
              </w:rPr>
              <w:t>120204</w:t>
            </w: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财务管理/</w:t>
            </w:r>
            <w:r>
              <w:rPr>
                <w:rFonts w:hint="default" w:ascii="Times New Roman" w:hAnsi="Times New Roman" w:eastAsia="仿宋_GB2312" w:cs="Times New Roman"/>
                <w:bCs w:val="0"/>
                <w:i w:val="0"/>
                <w:iCs w:val="0"/>
                <w:color w:val="000000" w:themeColor="text1"/>
                <w:sz w:val="21"/>
                <w:szCs w:val="21"/>
                <w:highlight w:val="none"/>
                <w:u w:val="none"/>
                <w:shd w:val="clear" w:color="auto" w:fill="auto"/>
                <w:lang w:val="en-US" w:eastAsia="zh-CN"/>
                <w14:textFill>
                  <w14:solidFill>
                    <w14:schemeClr w14:val="tx1"/>
                  </w14:solidFill>
                </w14:textFill>
              </w:rPr>
              <w:t>120207</w:t>
            </w: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审计学</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shd w:val="clear" w:color="auto" w:fill="auto"/>
                <w:lang w:val="en-US" w:eastAsia="zh-CN"/>
                <w14:textFill>
                  <w14:solidFill>
                    <w14:schemeClr w14:val="tx1"/>
                  </w14:solidFill>
                </w14:textFill>
              </w:rPr>
              <w:t>研究生：研究生需与本科专业相同或相近</w:t>
            </w:r>
          </w:p>
        </w:tc>
        <w:tc>
          <w:tcPr>
            <w:tcW w:w="645"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b w:val="0"/>
                <w:bCs w:val="0"/>
                <w:i w:val="0"/>
                <w:iCs w:val="0"/>
                <w:color w:val="000000" w:themeColor="text1"/>
                <w:sz w:val="21"/>
                <w:szCs w:val="21"/>
                <w:highlight w:val="none"/>
                <w:u w:val="none"/>
                <w14:textFill>
                  <w14:solidFill>
                    <w14:schemeClr w14:val="tx1"/>
                  </w14:solidFill>
                </w14:textFill>
              </w:rPr>
            </w:pPr>
            <w:r>
              <w:rPr>
                <w:rFonts w:hint="eastAsia" w:eastAsia="仿宋_GB2312" w:cs="Times New Roman"/>
                <w:b w:val="0"/>
                <w:bCs w:val="0"/>
                <w:i w:val="0"/>
                <w:iCs w:val="0"/>
                <w:color w:val="000000" w:themeColor="text1"/>
                <w:sz w:val="21"/>
                <w:szCs w:val="21"/>
                <w:highlight w:val="none"/>
                <w:u w:val="none"/>
                <w:lang w:val="en-US" w:eastAsia="zh-CN"/>
                <w14:textFill>
                  <w14:solidFill>
                    <w14:schemeClr w14:val="tx1"/>
                  </w14:solidFill>
                </w14:textFill>
              </w:rPr>
              <w:t>专科</w:t>
            </w:r>
            <w:r>
              <w:rPr>
                <w:rFonts w:hint="default" w:ascii="Times New Roman" w:hAnsi="Times New Roman" w:eastAsia="仿宋_GB2312" w:cs="Times New Roman"/>
                <w:b w:val="0"/>
                <w:bCs w:val="0"/>
                <w:i w:val="0"/>
                <w:iCs w:val="0"/>
                <w:color w:val="000000" w:themeColor="text1"/>
                <w:sz w:val="21"/>
                <w:szCs w:val="21"/>
                <w:highlight w:val="none"/>
                <w:u w:val="none"/>
                <w14:textFill>
                  <w14:solidFill>
                    <w14:schemeClr w14:val="tx1"/>
                  </w14:solidFill>
                </w14:textFill>
              </w:rPr>
              <w:t xml:space="preserve">及以上学历毕业生；  </w:t>
            </w: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p>
        </w:tc>
        <w:tc>
          <w:tcPr>
            <w:tcW w:w="1200" w:type="dxa"/>
            <w:shd w:val="clear" w:color="auto" w:fill="FFFFFF"/>
            <w:vAlign w:val="center"/>
          </w:tcPr>
          <w:p>
            <w:pPr>
              <w:keepNext w:val="0"/>
              <w:keepLines w:val="0"/>
              <w:pageBreakBefore w:val="0"/>
              <w:kinsoku/>
              <w:wordWrap/>
              <w:overflowPunct/>
              <w:topLinePunct w:val="0"/>
              <w:autoSpaceDE/>
              <w:autoSpaceDN/>
              <w:bidi w:val="0"/>
              <w:adjustRightInd/>
              <w:snapToGrid/>
              <w:spacing w:line="580" w:lineRule="exact"/>
              <w:ind w:firstLine="420" w:firstLineChars="200"/>
              <w:jc w:val="left"/>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否</w:t>
            </w:r>
          </w:p>
        </w:tc>
        <w:tc>
          <w:tcPr>
            <w:tcW w:w="7350" w:type="dxa"/>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年龄需在</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18</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周岁以上、</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35</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周岁以下</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，即</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198</w:t>
            </w:r>
            <w:r>
              <w:rPr>
                <w:rFonts w:hint="eastAsia"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8</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9月11日（不含）</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至</w:t>
            </w: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2006</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年</w:t>
            </w:r>
            <w:r>
              <w:rPr>
                <w:rFonts w:hint="eastAsia"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9月11日（含）出生。</w:t>
            </w: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1"/>
                <w:szCs w:val="21"/>
                <w:highlight w:val="none"/>
                <w:u w:val="none"/>
                <w:shd w:val="clear" w:color="auto" w:fill="auto"/>
                <w14:textFill>
                  <w14:solidFill>
                    <w14:schemeClr w14:val="tx1"/>
                  </w14:solidFill>
                </w14:textFill>
              </w:rPr>
            </w:pPr>
          </w:p>
        </w:tc>
        <w:tc>
          <w:tcPr>
            <w:tcW w:w="882" w:type="dxa"/>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0473</w:t>
            </w:r>
            <w:r>
              <w:rPr>
                <w:rFonts w:hint="default" w:ascii="Times New Roman" w:hAnsi="Times New Roman" w:eastAsia="仿宋_GB2312" w:cs="Times New Roman"/>
                <w:i w:val="0"/>
                <w:iCs w:val="0"/>
                <w:color w:val="000000" w:themeColor="text1"/>
                <w:kern w:val="0"/>
                <w:sz w:val="21"/>
                <w:szCs w:val="21"/>
                <w:highlight w:val="none"/>
                <w:u w:val="none"/>
                <w:shd w:val="clear" w:color="auto" w:fill="auto"/>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jc w:val="left"/>
              <w:rPr>
                <w:rFonts w:hint="default" w:ascii="Times New Roman" w:hAnsi="Times New Roman" w:eastAsia="仿宋_GB2312" w:cs="Times New Roman"/>
                <w:i w:val="0"/>
                <w:iCs w:val="0"/>
                <w:color w:val="000000" w:themeColor="text1"/>
                <w:sz w:val="24"/>
                <w:szCs w:val="24"/>
                <w:highlight w:val="none"/>
                <w:u w:val="none"/>
                <w:shd w:val="clear" w:color="auto" w:fill="auto"/>
                <w14:textFill>
                  <w14:solidFill>
                    <w14:schemeClr w14:val="tx1"/>
                  </w14:solidFill>
                </w14:textFill>
              </w:rPr>
            </w:pPr>
            <w:r>
              <w:rPr>
                <w:rFonts w:hint="default" w:ascii="Times New Roman" w:hAnsi="Times New Roman" w:eastAsia="仿宋_GB2312" w:cs="Times New Roman"/>
                <w:bCs w:val="0"/>
                <w:i w:val="0"/>
                <w:iCs w:val="0"/>
                <w:color w:val="000000" w:themeColor="text1"/>
                <w:kern w:val="0"/>
                <w:sz w:val="21"/>
                <w:szCs w:val="21"/>
                <w:highlight w:val="none"/>
                <w:u w:val="none"/>
                <w:shd w:val="clear" w:color="auto" w:fill="auto"/>
                <w:lang w:val="en-US" w:eastAsia="zh-CN" w:bidi="ar"/>
                <w14:textFill>
                  <w14:solidFill>
                    <w14:schemeClr w14:val="tx1"/>
                  </w14:solidFill>
                </w14:textFill>
              </w:rPr>
              <w:t>3666616</w:t>
            </w:r>
          </w:p>
        </w:tc>
      </w:tr>
    </w:tbl>
    <w:p>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ind w:left="640" w:leftChars="200"/>
      <w:outlineLvl w:val="0"/>
    </w:pPr>
    <w:rPr>
      <w:rFonts w:ascii="Arial" w:hAnsi="Arial" w:eastAsia="仿宋_GB2312"/>
      <w:b/>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2024-09-04T23:00:02Z</dcterms:created>
  <dc:creator>iPad</dc:creator>
  <cp:lastModifiedBy>iPad</cp:lastModifiedBy>
  <dcterms:modified xsi:type="dcterms:W3CDTF">2024-09-04T23:00:59Z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2052-12.16.0</vt:lpwstr>
  </property>
  <property fmtid="{D5CDD505-2E9C-101B-9397-08002B2CF9AE}" pid="3" name="ICV">
    <vt:lpwstr>D315792376B26E1FF275D866CB1461AC_31</vt:lpwstr>
  </property>
</Properties>
</file>