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05" w:tblpY="548"/>
        <w:tblOverlap w:val="never"/>
        <w:tblW w:w="102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114"/>
        <w:gridCol w:w="2212"/>
        <w:gridCol w:w="966"/>
        <w:gridCol w:w="966"/>
        <w:gridCol w:w="1098"/>
        <w:gridCol w:w="1021"/>
        <w:gridCol w:w="13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sz w:val="36"/>
                <w:szCs w:val="36"/>
              </w:rPr>
              <w:t>浙江省国际商会工作人员招聘报名表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综合部副部长                           □商事认证岗干事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个人情况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□应届 □社会人员 □留学归国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档案存放地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教育情况  （从高中起）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全日制/在职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lang w:val="en-US" w:eastAsia="zh-CN"/>
              </w:rPr>
              <w:t>学校、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岗位职务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技能及等次</w:t>
            </w: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个人特长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何时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何地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何种奖励或惩戒（次数）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通过何种途径获得此次招聘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□浙江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贸促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官网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□“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浙江贸促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公众号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智联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□前程无忧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学校招聘会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其他：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我保证上述表格中所填内容完全真实，如有虚假愿承担一切责任。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916F0"/>
    <w:rsid w:val="09C916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2026-03-09T02:26:00Z</dcterms:created>
  <dc:creator>江梦琪</dc:creator>
  <cp:lastModifiedBy>江梦琪</cp:lastModifiedBy>
  <dcterms:modified xsi:type="dcterms:W3CDTF">2026-03-09T02:28:10Z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