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黑体" w:cs="Times New Roman"/>
          <w:b/>
          <w:sz w:val="32"/>
          <w:szCs w:val="22"/>
        </w:rPr>
      </w:pPr>
      <w:r>
        <w:rPr>
          <w:rFonts w:hint="eastAsia" w:ascii="Calibri" w:hAnsi="Calibri" w:eastAsia="黑体" w:cs="Times New Roman"/>
          <w:b/>
          <w:sz w:val="32"/>
          <w:szCs w:val="22"/>
        </w:rPr>
        <w:t>信息档案中心岗位说明书</w:t>
      </w:r>
    </w:p>
    <w:tbl>
      <w:tblPr>
        <w:tblStyle w:val="5"/>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24"/>
        <w:gridCol w:w="534"/>
        <w:gridCol w:w="47"/>
        <w:gridCol w:w="1988"/>
        <w:gridCol w:w="799"/>
        <w:gridCol w:w="940"/>
        <w:gridCol w:w="634"/>
        <w:gridCol w:w="750"/>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top w:val="single" w:color="auto" w:sz="12" w:space="0"/>
              <w:left w:val="single" w:color="auto" w:sz="12" w:space="0"/>
              <w:right w:val="single" w:color="auto" w:sz="12" w:space="0"/>
            </w:tcBorders>
            <w:vAlign w:val="center"/>
          </w:tcPr>
          <w:p>
            <w:pPr>
              <w:adjustRightInd w:val="0"/>
              <w:snapToGrid w:val="0"/>
              <w:ind w:left="2" w:leftChars="-10" w:hanging="23" w:hangingChars="11"/>
              <w:jc w:val="left"/>
              <w:rPr>
                <w:rFonts w:ascii="黑体" w:hAnsi="黑体" w:eastAsia="黑体"/>
                <w:b/>
              </w:rPr>
            </w:pPr>
            <w:r>
              <w:rPr>
                <w:rFonts w:hint="eastAsia" w:ascii="黑体" w:hAnsi="黑体" w:eastAsia="黑体"/>
                <w:b/>
              </w:rPr>
              <w:t>一、岗位基本信息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85" w:type="pct"/>
            <w:gridSpan w:val="2"/>
            <w:tcBorders>
              <w:top w:val="single" w:color="auto" w:sz="4" w:space="0"/>
              <w:left w:val="single" w:color="auto" w:sz="12" w:space="0"/>
            </w:tcBorders>
            <w:shd w:val="clear" w:color="auto" w:fill="auto"/>
            <w:vAlign w:val="center"/>
          </w:tcPr>
          <w:p>
            <w:pPr>
              <w:jc w:val="center"/>
              <w:rPr>
                <w:rFonts w:ascii="黑体" w:hAnsi="黑体" w:eastAsia="黑体"/>
                <w:b/>
                <w:bCs/>
              </w:rPr>
            </w:pPr>
            <w:r>
              <w:rPr>
                <w:rFonts w:hint="eastAsia" w:ascii="黑体" w:hAnsi="黑体" w:eastAsia="黑体"/>
                <w:b/>
                <w:bCs/>
              </w:rPr>
              <w:t>岗位名称</w:t>
            </w:r>
          </w:p>
        </w:tc>
        <w:tc>
          <w:tcPr>
            <w:tcW w:w="1677" w:type="pct"/>
            <w:gridSpan w:val="3"/>
            <w:tcBorders>
              <w:top w:val="single" w:color="auto" w:sz="4" w:space="0"/>
              <w:right w:val="single" w:color="auto" w:sz="4" w:space="0"/>
            </w:tcBorders>
            <w:shd w:val="clear" w:color="auto" w:fill="auto"/>
            <w:vAlign w:val="center"/>
          </w:tcPr>
          <w:p>
            <w:pPr>
              <w:adjustRightInd w:val="0"/>
              <w:snapToGrid w:val="0"/>
              <w:jc w:val="center"/>
              <w:rPr>
                <w:rFonts w:ascii="黑体" w:hAnsi="黑体" w:eastAsia="黑体"/>
                <w:sz w:val="20"/>
                <w:szCs w:val="20"/>
              </w:rPr>
            </w:pPr>
            <w:bookmarkStart w:id="0" w:name="OLE_LINK1"/>
            <w:r>
              <w:rPr>
                <w:rFonts w:hint="eastAsia" w:ascii="黑体" w:hAnsi="黑体" w:eastAsia="黑体"/>
                <w:sz w:val="20"/>
                <w:szCs w:val="20"/>
              </w:rPr>
              <w:t>数据安全管理主管岗</w:t>
            </w:r>
            <w:bookmarkEnd w:id="0"/>
          </w:p>
        </w:tc>
        <w:tc>
          <w:tcPr>
            <w:tcW w:w="931" w:type="pct"/>
            <w:gridSpan w:val="2"/>
            <w:tcBorders>
              <w:top w:val="single" w:color="auto" w:sz="4" w:space="0"/>
              <w:left w:val="single" w:color="auto" w:sz="4" w:space="0"/>
              <w:right w:val="single" w:color="auto" w:sz="4" w:space="0"/>
            </w:tcBorders>
            <w:vAlign w:val="center"/>
          </w:tcPr>
          <w:p>
            <w:pPr>
              <w:adjustRightInd w:val="0"/>
              <w:snapToGrid w:val="0"/>
              <w:jc w:val="center"/>
              <w:rPr>
                <w:rFonts w:ascii="黑体" w:hAnsi="黑体" w:eastAsia="黑体"/>
                <w:b/>
                <w:bCs/>
                <w:szCs w:val="20"/>
              </w:rPr>
            </w:pPr>
            <w:r>
              <w:rPr>
                <w:rFonts w:hint="eastAsia" w:ascii="黑体" w:hAnsi="黑体" w:eastAsia="黑体"/>
                <w:b/>
                <w:bCs/>
                <w:szCs w:val="20"/>
              </w:rPr>
              <w:t>岗位编号</w:t>
            </w:r>
          </w:p>
        </w:tc>
        <w:tc>
          <w:tcPr>
            <w:tcW w:w="1705" w:type="pct"/>
            <w:gridSpan w:val="2"/>
            <w:tcBorders>
              <w:top w:val="single" w:color="auto" w:sz="4" w:space="0"/>
              <w:left w:val="single" w:color="auto" w:sz="4" w:space="0"/>
              <w:right w:val="single" w:color="auto" w:sz="12" w:space="0"/>
            </w:tcBorders>
            <w:vAlign w:val="center"/>
          </w:tcPr>
          <w:p>
            <w:pPr>
              <w:adjustRightInd w:val="0"/>
              <w:snapToGrid w:val="0"/>
              <w:ind w:left="1" w:leftChars="-10" w:hanging="22" w:hangingChars="11"/>
              <w:jc w:val="center"/>
              <w:rPr>
                <w:rFonts w:ascii="黑体" w:hAnsi="黑体" w:eastAsia="黑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85" w:type="pct"/>
            <w:gridSpan w:val="2"/>
            <w:tcBorders>
              <w:left w:val="single" w:color="auto" w:sz="12" w:space="0"/>
              <w:right w:val="single" w:color="auto" w:sz="4" w:space="0"/>
            </w:tcBorders>
            <w:vAlign w:val="center"/>
          </w:tcPr>
          <w:p>
            <w:pPr>
              <w:adjustRightInd w:val="0"/>
              <w:snapToGrid w:val="0"/>
              <w:jc w:val="center"/>
              <w:rPr>
                <w:rFonts w:ascii="黑体" w:hAnsi="黑体" w:eastAsia="黑体"/>
                <w:b/>
                <w:bCs/>
              </w:rPr>
            </w:pPr>
            <w:r>
              <w:rPr>
                <w:rFonts w:hint="eastAsia" w:ascii="黑体" w:hAnsi="黑体" w:eastAsia="黑体"/>
                <w:b/>
                <w:bCs/>
              </w:rPr>
              <w:t>所在部门/所</w:t>
            </w:r>
          </w:p>
        </w:tc>
        <w:tc>
          <w:tcPr>
            <w:tcW w:w="1677" w:type="pct"/>
            <w:gridSpan w:val="3"/>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安全运营部</w:t>
            </w:r>
          </w:p>
        </w:tc>
        <w:tc>
          <w:tcPr>
            <w:tcW w:w="931" w:type="pct"/>
            <w:gridSpan w:val="2"/>
            <w:tcBorders>
              <w:left w:val="single" w:color="auto" w:sz="4" w:space="0"/>
              <w:right w:val="single" w:color="auto" w:sz="4" w:space="0"/>
            </w:tcBorders>
            <w:vAlign w:val="center"/>
          </w:tcPr>
          <w:p>
            <w:pPr>
              <w:adjustRightInd w:val="0"/>
              <w:snapToGrid w:val="0"/>
              <w:jc w:val="center"/>
              <w:rPr>
                <w:rFonts w:ascii="黑体" w:hAnsi="黑体" w:eastAsia="黑体"/>
                <w:b/>
                <w:bCs/>
                <w:szCs w:val="20"/>
              </w:rPr>
            </w:pPr>
            <w:r>
              <w:rPr>
                <w:rFonts w:hint="eastAsia" w:ascii="黑体" w:hAnsi="黑体" w:eastAsia="黑体"/>
                <w:b/>
                <w:bCs/>
                <w:szCs w:val="20"/>
              </w:rPr>
              <w:t>岗位编制</w:t>
            </w:r>
          </w:p>
        </w:tc>
        <w:tc>
          <w:tcPr>
            <w:tcW w:w="1705" w:type="pct"/>
            <w:gridSpan w:val="2"/>
            <w:tcBorders>
              <w:left w:val="single" w:color="auto" w:sz="4" w:space="0"/>
              <w:right w:val="single" w:color="auto" w:sz="12" w:space="0"/>
            </w:tcBorders>
            <w:vAlign w:val="center"/>
          </w:tcPr>
          <w:p>
            <w:pPr>
              <w:adjustRightInd w:val="0"/>
              <w:snapToGrid w:val="0"/>
              <w:jc w:val="cente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85" w:type="pct"/>
            <w:gridSpan w:val="2"/>
            <w:tcBorders>
              <w:left w:val="single" w:color="auto" w:sz="12" w:space="0"/>
              <w:right w:val="single" w:color="auto" w:sz="4" w:space="0"/>
            </w:tcBorders>
            <w:vAlign w:val="center"/>
          </w:tcPr>
          <w:p>
            <w:pPr>
              <w:adjustRightInd w:val="0"/>
              <w:snapToGrid w:val="0"/>
              <w:jc w:val="center"/>
              <w:rPr>
                <w:rFonts w:ascii="黑体" w:hAnsi="黑体" w:eastAsia="黑体"/>
                <w:b/>
                <w:bCs/>
              </w:rPr>
            </w:pPr>
            <w:r>
              <w:rPr>
                <w:rFonts w:hint="eastAsia" w:ascii="黑体" w:hAnsi="黑体" w:eastAsia="黑体"/>
                <w:b/>
                <w:bCs/>
              </w:rPr>
              <w:t>直接上级</w:t>
            </w:r>
          </w:p>
        </w:tc>
        <w:tc>
          <w:tcPr>
            <w:tcW w:w="1677" w:type="pct"/>
            <w:gridSpan w:val="3"/>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安全运营部经理</w:t>
            </w:r>
          </w:p>
        </w:tc>
        <w:tc>
          <w:tcPr>
            <w:tcW w:w="931" w:type="pct"/>
            <w:gridSpan w:val="2"/>
            <w:tcBorders>
              <w:left w:val="single" w:color="auto" w:sz="4" w:space="0"/>
              <w:right w:val="single" w:color="auto" w:sz="4" w:space="0"/>
            </w:tcBorders>
            <w:vAlign w:val="center"/>
          </w:tcPr>
          <w:p>
            <w:pPr>
              <w:adjustRightInd w:val="0"/>
              <w:snapToGrid w:val="0"/>
              <w:jc w:val="center"/>
              <w:rPr>
                <w:rFonts w:ascii="黑体" w:hAnsi="黑体" w:eastAsia="黑体"/>
                <w:b/>
                <w:bCs/>
                <w:szCs w:val="20"/>
              </w:rPr>
            </w:pPr>
            <w:r>
              <w:rPr>
                <w:rFonts w:hint="eastAsia" w:ascii="黑体" w:hAnsi="黑体" w:eastAsia="黑体"/>
                <w:b/>
                <w:bCs/>
                <w:szCs w:val="20"/>
              </w:rPr>
              <w:t>职级</w:t>
            </w:r>
          </w:p>
        </w:tc>
        <w:tc>
          <w:tcPr>
            <w:tcW w:w="1705" w:type="pct"/>
            <w:gridSpan w:val="2"/>
            <w:tcBorders>
              <w:left w:val="single" w:color="auto" w:sz="4" w:space="0"/>
              <w:right w:val="single" w:color="auto" w:sz="12" w:space="0"/>
            </w:tcBorders>
            <w:vAlign w:val="center"/>
          </w:tcPr>
          <w:p>
            <w:pPr>
              <w:adjustRightInd w:val="0"/>
              <w:snapToGrid w:val="0"/>
              <w:ind w:left="2" w:leftChars="-10" w:hanging="23" w:hangingChars="11"/>
              <w:jc w:val="cente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85" w:type="pct"/>
            <w:gridSpan w:val="2"/>
            <w:tcBorders>
              <w:left w:val="single" w:color="auto" w:sz="12" w:space="0"/>
            </w:tcBorders>
            <w:vAlign w:val="center"/>
          </w:tcPr>
          <w:p>
            <w:pPr>
              <w:adjustRightInd w:val="0"/>
              <w:snapToGrid w:val="0"/>
              <w:jc w:val="center"/>
              <w:rPr>
                <w:rFonts w:ascii="黑体" w:hAnsi="黑体" w:eastAsia="黑体"/>
                <w:b/>
                <w:bCs/>
              </w:rPr>
            </w:pPr>
            <w:r>
              <w:rPr>
                <w:rFonts w:hint="eastAsia" w:ascii="黑体" w:hAnsi="黑体" w:eastAsia="黑体"/>
                <w:b/>
                <w:bCs/>
                <w:szCs w:val="20"/>
              </w:rPr>
              <w:t>直接下属数量</w:t>
            </w:r>
          </w:p>
        </w:tc>
        <w:tc>
          <w:tcPr>
            <w:tcW w:w="1677" w:type="pct"/>
            <w:gridSpan w:val="3"/>
            <w:vAlign w:val="center"/>
          </w:tcPr>
          <w:p>
            <w:pPr>
              <w:adjustRightInd w:val="0"/>
              <w:snapToGrid w:val="0"/>
              <w:ind w:left="1" w:leftChars="-10" w:hanging="22" w:hangingChars="11"/>
              <w:jc w:val="center"/>
              <w:rPr>
                <w:rFonts w:ascii="黑体" w:hAnsi="黑体" w:eastAsia="黑体"/>
                <w:sz w:val="20"/>
                <w:szCs w:val="20"/>
              </w:rPr>
            </w:pPr>
          </w:p>
        </w:tc>
        <w:tc>
          <w:tcPr>
            <w:tcW w:w="931" w:type="pct"/>
            <w:gridSpan w:val="2"/>
            <w:vAlign w:val="center"/>
          </w:tcPr>
          <w:p>
            <w:pPr>
              <w:adjustRightInd w:val="0"/>
              <w:snapToGrid w:val="0"/>
              <w:jc w:val="center"/>
              <w:rPr>
                <w:rFonts w:ascii="黑体" w:hAnsi="黑体" w:eastAsia="黑体"/>
                <w:b/>
                <w:bCs/>
                <w:szCs w:val="20"/>
              </w:rPr>
            </w:pPr>
            <w:r>
              <w:rPr>
                <w:rFonts w:hint="eastAsia" w:ascii="黑体" w:hAnsi="黑体" w:eastAsia="黑体"/>
                <w:b/>
                <w:bCs/>
                <w:szCs w:val="20"/>
              </w:rPr>
              <w:t>间接下属数量</w:t>
            </w:r>
          </w:p>
        </w:tc>
        <w:tc>
          <w:tcPr>
            <w:tcW w:w="1705" w:type="pct"/>
            <w:gridSpan w:val="2"/>
            <w:tcBorders>
              <w:right w:val="single" w:color="auto" w:sz="12" w:space="0"/>
            </w:tcBorders>
            <w:vAlign w:val="center"/>
          </w:tcPr>
          <w:p>
            <w:pPr>
              <w:adjustRightInd w:val="0"/>
              <w:snapToGrid w:val="0"/>
              <w:ind w:left="2" w:leftChars="-10" w:hanging="23" w:hangingChars="11"/>
              <w:jc w:val="cente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top w:val="single" w:color="auto" w:sz="12" w:space="0"/>
              <w:left w:val="single" w:color="auto" w:sz="12" w:space="0"/>
              <w:bottom w:val="single" w:color="auto" w:sz="2" w:space="0"/>
              <w:right w:val="single" w:color="auto" w:sz="12" w:space="0"/>
            </w:tcBorders>
            <w:vAlign w:val="center"/>
          </w:tcPr>
          <w:p>
            <w:pPr>
              <w:adjustRightInd w:val="0"/>
              <w:snapToGrid w:val="0"/>
              <w:rPr>
                <w:rFonts w:ascii="宋体" w:hAnsi="宋体"/>
              </w:rPr>
            </w:pPr>
            <w:r>
              <w:rPr>
                <w:rFonts w:hint="eastAsia" w:ascii="黑体" w:hAnsi="宋体" w:eastAsia="黑体"/>
                <w:b/>
                <w:bCs/>
              </w:rPr>
              <w:t>二、岗位概要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35" w:hRule="atLeast"/>
          <w:jc w:val="center"/>
        </w:trPr>
        <w:tc>
          <w:tcPr>
            <w:tcW w:w="5000" w:type="pct"/>
            <w:gridSpan w:val="9"/>
            <w:tcBorders>
              <w:top w:val="single" w:color="auto" w:sz="2" w:space="0"/>
              <w:left w:val="single" w:color="auto" w:sz="12" w:space="0"/>
              <w:bottom w:val="single" w:color="auto" w:sz="12" w:space="0"/>
              <w:right w:val="single" w:color="auto" w:sz="12" w:space="0"/>
            </w:tcBorders>
            <w:vAlign w:val="center"/>
          </w:tcPr>
          <w:p>
            <w:pPr>
              <w:adjustRightInd w:val="0"/>
              <w:snapToGrid w:val="0"/>
              <w:ind w:left="-21" w:leftChars="-10" w:firstLine="100" w:firstLineChars="50"/>
              <w:jc w:val="left"/>
              <w:rPr>
                <w:rFonts w:ascii="黑体" w:hAnsi="黑体" w:eastAsia="黑体"/>
                <w:sz w:val="20"/>
                <w:szCs w:val="21"/>
              </w:rPr>
            </w:pPr>
            <w:r>
              <w:rPr>
                <w:rFonts w:hint="eastAsia" w:ascii="黑体" w:hAnsi="黑体" w:eastAsia="黑体"/>
                <w:bCs/>
                <w:sz w:val="20"/>
                <w:szCs w:val="20"/>
              </w:rPr>
              <w:t>本岗位负责数据安全相关数据分析、数据运营工作，通过数据洞察支撑安全决策，优化安全体系。负责集团整体数据安全管理与控制措施的制定、完善、监督落地工作。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top w:val="single" w:color="auto" w:sz="12" w:space="0"/>
              <w:left w:val="single" w:color="auto" w:sz="12" w:space="0"/>
              <w:bottom w:val="single" w:color="auto" w:sz="4" w:space="0"/>
              <w:right w:val="single" w:color="auto" w:sz="12" w:space="0"/>
            </w:tcBorders>
            <w:vAlign w:val="center"/>
          </w:tcPr>
          <w:p>
            <w:pPr>
              <w:tabs>
                <w:tab w:val="left" w:pos="630"/>
              </w:tabs>
              <w:adjustRightInd w:val="0"/>
              <w:snapToGrid w:val="0"/>
              <w:rPr>
                <w:rFonts w:ascii="黑体" w:hAnsi="宋体" w:eastAsia="黑体"/>
                <w:b/>
                <w:bCs/>
              </w:rPr>
            </w:pPr>
            <w:r>
              <w:rPr>
                <w:rFonts w:hint="eastAsia" w:ascii="黑体" w:hAnsi="宋体" w:eastAsia="黑体"/>
                <w:b/>
                <w:bCs/>
              </w:rPr>
              <w:t>三、岗位职责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00" w:hRule="atLeast"/>
          <w:jc w:val="center"/>
        </w:trPr>
        <w:tc>
          <w:tcPr>
            <w:tcW w:w="369" w:type="pct"/>
            <w:tcBorders>
              <w:top w:val="single" w:color="auto" w:sz="4" w:space="0"/>
              <w:left w:val="single" w:color="auto" w:sz="12" w:space="0"/>
              <w:right w:val="single" w:color="auto" w:sz="4" w:space="0"/>
            </w:tcBorders>
            <w:shd w:val="clear" w:color="auto" w:fill="auto"/>
            <w:vAlign w:val="center"/>
          </w:tcPr>
          <w:p>
            <w:pPr>
              <w:adjustRightInd w:val="0"/>
              <w:snapToGrid w:val="0"/>
              <w:rPr>
                <w:rFonts w:ascii="黑体" w:hAnsi="黑体" w:eastAsia="黑体"/>
                <w:sz w:val="20"/>
              </w:rPr>
            </w:pPr>
            <w:r>
              <w:rPr>
                <w:rFonts w:hint="eastAsia" w:ascii="黑体" w:hAnsi="黑体" w:eastAsia="黑体"/>
                <w:sz w:val="20"/>
              </w:rPr>
              <w:t>主要职责</w:t>
            </w:r>
          </w:p>
          <w:p>
            <w:pPr>
              <w:adjustRightInd w:val="0"/>
              <w:snapToGrid w:val="0"/>
              <w:rPr>
                <w:rFonts w:ascii="黑体" w:hAnsi="黑体" w:eastAsia="黑体"/>
                <w:sz w:val="20"/>
              </w:rPr>
            </w:pPr>
          </w:p>
        </w:tc>
        <w:tc>
          <w:tcPr>
            <w:tcW w:w="4630" w:type="pct"/>
            <w:gridSpan w:val="8"/>
            <w:shd w:val="clear" w:color="auto" w:fill="auto"/>
          </w:tcPr>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负责建立数据安全数据分析体系，收集、整合集团数据安全相关数据，涵盖风险事件、合规达标情况、安全设备运行状态、用户操作行为等核心维度，确保数据来源合法、口径统一、质量可靠；</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定期开展数据安全专项数据分析，运用统计分析、趋势预测等方法，识别数据安全风险演变趋势、合规管理薄弱环节及安全防护措施实施效果，形成可视化数据分析报告；</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基于数据分析结果，提出数据安全体系优化方向、风险防控策略强化建议及安全资源调配方案，为管理层制定安全决策提供数据支撑；</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负责数据安全审计数据分析，深度挖掘审计数据中的异常访问、违规操作等潜在安全隐患，定位问题根源并形成分析结论，为审计工作落地及问题整改提供依据。</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负责集团整体数据安全体系规划、建设与完善，编制相关技术与管理措施的解决方案，并监督其体系运行情况；</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负责国家法律法规、政策标准及上级监管单位数据安全要求的传达与企业内部分解落地工作；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负责与政府、公安机关和上级监管部门对接与迎检工作，并按照相关要求反馈材料；</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负责数据安全咨询与规划、架构设计、安全产品选型工作；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负责集团数据安全制度建设、维护及更新工作；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负责整体数据安全及专项安全风险评估工作，撰写整体安全报告；</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负责制定与数据安全相关的审计计划，组织开展内部审计、外部审计和合规审计工作；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负责数据安全应急预案体系制定与维护工作；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负责数据安全应急演练工作；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负责数据安全预警信息发布、跟踪、整改工作；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负责数据网络安全事件的应急处置、事件调查、分析工作；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负责数据网络安全检查工作；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负责重大活动期间网络安全保障与总结工作；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负责数据安全人才队伍建设，组织培训课程体系开发，提供不同岗位安全技能培训与咨询工作；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负责组织数据安全相关论文、专利编制工作；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负责指导、检查集团所属各单位的数据安全管理工作；</w:t>
            </w:r>
          </w:p>
          <w:p>
            <w:pPr>
              <w:numPr>
                <w:ilvl w:val="0"/>
                <w:numId w:val="1"/>
              </w:numPr>
              <w:adjustRightInd w:val="0"/>
              <w:snapToGrid w:val="0"/>
              <w:jc w:val="left"/>
              <w:rPr>
                <w:rFonts w:hAnsi="宋体"/>
                <w:sz w:val="24"/>
              </w:rPr>
            </w:pPr>
            <w:r>
              <w:rPr>
                <w:rFonts w:hint="eastAsia" w:ascii="黑体" w:hAnsi="黑体" w:eastAsia="黑体"/>
                <w:bCs/>
                <w:sz w:val="20"/>
                <w:szCs w:val="20"/>
              </w:rPr>
              <w:t>配合集团公司完成数据安全相关信息化考核工作。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37" w:hRule="atLeast"/>
          <w:jc w:val="center"/>
        </w:trPr>
        <w:tc>
          <w:tcPr>
            <w:tcW w:w="369" w:type="pct"/>
            <w:tcBorders>
              <w:top w:val="single" w:color="auto" w:sz="4" w:space="0"/>
              <w:left w:val="single" w:color="auto" w:sz="12" w:space="0"/>
              <w:right w:val="single" w:color="auto" w:sz="4" w:space="0"/>
            </w:tcBorders>
            <w:shd w:val="clear" w:color="auto" w:fill="FFFFFF"/>
            <w:vAlign w:val="center"/>
          </w:tcPr>
          <w:p>
            <w:pPr>
              <w:adjustRightInd w:val="0"/>
              <w:snapToGrid w:val="0"/>
              <w:rPr>
                <w:rFonts w:ascii="黑体" w:hAnsi="黑体" w:eastAsia="黑体"/>
                <w:sz w:val="20"/>
              </w:rPr>
            </w:pPr>
            <w:r>
              <w:rPr>
                <w:rFonts w:hint="eastAsia" w:ascii="黑体" w:hAnsi="黑体" w:eastAsia="黑体"/>
                <w:sz w:val="20"/>
              </w:rPr>
              <w:t>其他职责</w:t>
            </w:r>
          </w:p>
        </w:tc>
        <w:tc>
          <w:tcPr>
            <w:tcW w:w="4630" w:type="pct"/>
            <w:gridSpan w:val="8"/>
            <w:tcBorders>
              <w:top w:val="single" w:color="auto" w:sz="4" w:space="0"/>
              <w:left w:val="single" w:color="auto" w:sz="4" w:space="0"/>
              <w:right w:val="single" w:color="auto" w:sz="12" w:space="0"/>
            </w:tcBorders>
            <w:vAlign w:val="center"/>
          </w:tcPr>
          <w:p>
            <w:pPr>
              <w:adjustRightInd w:val="0"/>
              <w:snapToGrid w:val="0"/>
              <w:ind w:firstLine="100" w:firstLineChars="50"/>
              <w:rPr>
                <w:rFonts w:ascii="黑体" w:hAnsi="黑体" w:eastAsia="黑体"/>
                <w:sz w:val="20"/>
              </w:rPr>
            </w:pPr>
            <w:r>
              <w:rPr>
                <w:rFonts w:hint="eastAsia" w:ascii="黑体" w:hAnsi="黑体" w:eastAsia="黑体"/>
                <w:sz w:val="20"/>
                <w:szCs w:val="20"/>
              </w:rPr>
              <w:t>完成领导交办的其他工作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top w:val="single" w:color="auto" w:sz="12" w:space="0"/>
              <w:left w:val="single" w:color="auto" w:sz="12" w:space="0"/>
              <w:bottom w:val="single" w:color="auto" w:sz="4" w:space="0"/>
              <w:right w:val="single" w:color="auto" w:sz="12" w:space="0"/>
            </w:tcBorders>
            <w:vAlign w:val="center"/>
          </w:tcPr>
          <w:p>
            <w:pPr>
              <w:tabs>
                <w:tab w:val="left" w:pos="630"/>
              </w:tabs>
              <w:adjustRightInd w:val="0"/>
              <w:snapToGrid w:val="0"/>
              <w:rPr>
                <w:rFonts w:ascii="宋体" w:hAnsi="宋体"/>
                <w:b/>
              </w:rPr>
            </w:pPr>
            <w:r>
              <w:rPr>
                <w:rFonts w:hint="eastAsia" w:ascii="黑体" w:hAnsi="宋体" w:eastAsia="黑体"/>
                <w:b/>
                <w:bCs/>
              </w:rPr>
              <w:t>四.主要权限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left w:val="single" w:color="auto" w:sz="12" w:space="0"/>
              <w:bottom w:val="single" w:color="auto" w:sz="4" w:space="0"/>
              <w:right w:val="single" w:color="auto" w:sz="12" w:space="0"/>
            </w:tcBorders>
          </w:tcPr>
          <w:p>
            <w:pPr>
              <w:pStyle w:val="2"/>
              <w:rPr>
                <w:rFonts w:hint="default" w:eastAsia="楷体_GB2312"/>
              </w:rPr>
            </w:pPr>
            <w:r>
              <w:rPr>
                <w:rFonts w:ascii="黑体" w:hAnsi="黑体" w:eastAsia="黑体"/>
                <w:sz w:val="20"/>
                <w:szCs w:val="22"/>
              </w:rPr>
              <w:t>1.对现有</w:t>
            </w:r>
            <w:r>
              <w:rPr>
                <w:rFonts w:hint="default" w:ascii="黑体" w:hAnsi="黑体" w:eastAsia="黑体"/>
                <w:sz w:val="20"/>
                <w:szCs w:val="22"/>
              </w:rPr>
              <w:t>制度的检查权、纠正权</w:t>
            </w:r>
            <w:r>
              <w:rPr>
                <w:rFonts w:ascii="黑体" w:hAnsi="黑体" w:eastAsia="黑体"/>
                <w:sz w:val="20"/>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left w:val="single" w:color="auto" w:sz="12" w:space="0"/>
              <w:bottom w:val="single" w:color="auto" w:sz="4" w:space="0"/>
              <w:right w:val="single" w:color="auto" w:sz="12" w:space="0"/>
            </w:tcBorders>
          </w:tcPr>
          <w:p>
            <w:pPr>
              <w:pStyle w:val="2"/>
              <w:rPr>
                <w:rFonts w:hint="default" w:ascii="黑体" w:hAnsi="黑体" w:eastAsia="黑体"/>
                <w:sz w:val="20"/>
                <w:szCs w:val="22"/>
              </w:rPr>
            </w:pPr>
            <w:r>
              <w:rPr>
                <w:rFonts w:ascii="黑体" w:hAnsi="黑体" w:eastAsia="黑体"/>
                <w:sz w:val="20"/>
                <w:szCs w:val="22"/>
              </w:rPr>
              <w:t>2.对数据和信息</w:t>
            </w:r>
            <w:r>
              <w:rPr>
                <w:rFonts w:hint="default" w:ascii="黑体" w:hAnsi="黑体" w:eastAsia="黑体"/>
                <w:sz w:val="20"/>
                <w:szCs w:val="22"/>
              </w:rPr>
              <w:t>的检查权、监督权</w:t>
            </w:r>
            <w:r>
              <w:rPr>
                <w:rFonts w:ascii="黑体" w:hAnsi="黑体" w:eastAsia="黑体"/>
                <w:sz w:val="20"/>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left w:val="single" w:color="auto" w:sz="12" w:space="0"/>
              <w:bottom w:val="single" w:color="auto" w:sz="4" w:space="0"/>
              <w:right w:val="single" w:color="auto" w:sz="12" w:space="0"/>
            </w:tcBorders>
          </w:tcPr>
          <w:p>
            <w:pPr>
              <w:pStyle w:val="2"/>
              <w:rPr>
                <w:rFonts w:hint="default" w:ascii="黑体" w:hAnsi="黑体" w:eastAsia="黑体"/>
                <w:sz w:val="20"/>
                <w:szCs w:val="22"/>
              </w:rPr>
            </w:pPr>
            <w:r>
              <w:rPr>
                <w:rFonts w:ascii="黑体" w:hAnsi="黑体" w:eastAsia="黑体"/>
                <w:sz w:val="20"/>
                <w:szCs w:val="22"/>
              </w:rPr>
              <w:t>3.对</w:t>
            </w:r>
            <w:r>
              <w:rPr>
                <w:rFonts w:hint="default" w:ascii="黑体" w:hAnsi="黑体" w:eastAsia="黑体"/>
                <w:sz w:val="20"/>
                <w:szCs w:val="22"/>
              </w:rPr>
              <w:t>各</w:t>
            </w:r>
            <w:r>
              <w:rPr>
                <w:rFonts w:ascii="黑体" w:hAnsi="黑体" w:eastAsia="黑体"/>
                <w:sz w:val="20"/>
                <w:szCs w:val="22"/>
              </w:rPr>
              <w:t>信息安全</w:t>
            </w:r>
            <w:r>
              <w:rPr>
                <w:rFonts w:hint="default" w:ascii="黑体" w:hAnsi="黑体" w:eastAsia="黑体"/>
                <w:sz w:val="20"/>
                <w:szCs w:val="22"/>
              </w:rPr>
              <w:t>厂商的</w:t>
            </w:r>
            <w:r>
              <w:rPr>
                <w:rFonts w:ascii="黑体" w:hAnsi="黑体" w:eastAsia="黑体"/>
                <w:sz w:val="20"/>
                <w:szCs w:val="22"/>
              </w:rPr>
              <w:t>监督权</w:t>
            </w:r>
            <w:r>
              <w:rPr>
                <w:rFonts w:hint="default" w:ascii="黑体" w:hAnsi="黑体" w:eastAsia="黑体"/>
                <w:sz w:val="20"/>
                <w:szCs w:val="22"/>
              </w:rPr>
              <w:t>、考核权；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left w:val="single" w:color="auto" w:sz="12" w:space="0"/>
              <w:bottom w:val="single" w:color="auto" w:sz="4" w:space="0"/>
              <w:right w:val="single" w:color="auto" w:sz="12" w:space="0"/>
            </w:tcBorders>
          </w:tcPr>
          <w:p>
            <w:pPr>
              <w:pStyle w:val="2"/>
              <w:rPr>
                <w:rFonts w:hint="default" w:ascii="黑体" w:hAnsi="黑体" w:eastAsia="黑体"/>
                <w:sz w:val="20"/>
                <w:szCs w:val="22"/>
              </w:rPr>
            </w:pPr>
            <w:r>
              <w:rPr>
                <w:rFonts w:hint="default" w:ascii="黑体" w:hAnsi="黑体" w:eastAsia="黑体"/>
                <w:sz w:val="20"/>
                <w:szCs w:val="22"/>
              </w:rPr>
              <w:t>4</w:t>
            </w:r>
            <w:r>
              <w:rPr>
                <w:rFonts w:ascii="黑体" w:hAnsi="黑体" w:eastAsia="黑体"/>
                <w:sz w:val="20"/>
                <w:szCs w:val="22"/>
              </w:rPr>
              <w:t>.</w:t>
            </w:r>
            <w:r>
              <w:rPr>
                <w:rFonts w:ascii="黑体" w:hAnsi="黑体" w:eastAsia="黑体"/>
                <w:sz w:val="20"/>
              </w:rPr>
              <w:t>对本部门工作建议权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top w:val="single" w:color="auto" w:sz="12" w:space="0"/>
              <w:left w:val="single" w:color="auto" w:sz="12" w:space="0"/>
              <w:bottom w:val="single" w:color="auto" w:sz="4" w:space="0"/>
              <w:right w:val="single" w:color="auto" w:sz="12" w:space="0"/>
            </w:tcBorders>
            <w:vAlign w:val="center"/>
          </w:tcPr>
          <w:p>
            <w:pPr>
              <w:adjustRightInd w:val="0"/>
              <w:snapToGrid w:val="0"/>
              <w:jc w:val="left"/>
              <w:rPr>
                <w:rFonts w:ascii="宋体" w:hAnsi="宋体"/>
                <w:b/>
              </w:rPr>
            </w:pPr>
            <w:r>
              <w:rPr>
                <w:rFonts w:hint="eastAsia" w:ascii="黑体" w:hAnsi="宋体" w:eastAsia="黑体"/>
                <w:b/>
                <w:bCs/>
              </w:rPr>
              <w:t>五.任职资格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713" w:type="pct"/>
            <w:gridSpan w:val="3"/>
            <w:tcBorders>
              <w:top w:val="single" w:color="auto" w:sz="4" w:space="0"/>
              <w:left w:val="single" w:color="auto" w:sz="12" w:space="0"/>
              <w:right w:val="single" w:color="auto" w:sz="4" w:space="0"/>
            </w:tcBorders>
            <w:vAlign w:val="center"/>
          </w:tcPr>
          <w:p>
            <w:pPr>
              <w:jc w:val="center"/>
              <w:rPr>
                <w:rFonts w:ascii="黑体" w:hAnsi="黑体" w:eastAsia="黑体"/>
                <w:b/>
                <w:sz w:val="20"/>
              </w:rPr>
            </w:pPr>
            <w:r>
              <w:rPr>
                <w:rFonts w:hint="eastAsia" w:ascii="黑体" w:hAnsi="黑体" w:eastAsia="黑体"/>
                <w:b/>
                <w:sz w:val="20"/>
              </w:rPr>
              <w:t>政治面貌</w:t>
            </w:r>
          </w:p>
        </w:tc>
        <w:tc>
          <w:tcPr>
            <w:tcW w:w="4286" w:type="pct"/>
            <w:gridSpan w:val="6"/>
            <w:tcBorders>
              <w:top w:val="single" w:color="auto" w:sz="4" w:space="0"/>
              <w:left w:val="single" w:color="auto" w:sz="4" w:space="0"/>
              <w:right w:val="single" w:color="auto" w:sz="12" w:space="0"/>
            </w:tcBorders>
            <w:vAlign w:val="center"/>
          </w:tcPr>
          <w:p>
            <w:pPr>
              <w:adjustRightInd w:val="0"/>
              <w:snapToGrid w:val="0"/>
              <w:jc w:val="left"/>
              <w:rPr>
                <w:rFonts w:ascii="黑体" w:hAnsi="黑体" w:eastAsia="黑体"/>
                <w:sz w:val="20"/>
              </w:rPr>
            </w:pPr>
            <w:bookmarkStart w:id="3" w:name="_GoBack"/>
            <w:bookmarkStart w:id="1" w:name="OLE_LINK3"/>
            <w:r>
              <w:rPr>
                <w:rFonts w:hint="eastAsia" w:ascii="黑体" w:hAnsi="黑体" w:eastAsia="黑体"/>
                <w:sz w:val="20"/>
                <w:szCs w:val="22"/>
              </w:rPr>
              <w:t>中共党员</w:t>
            </w:r>
            <w:bookmarkEnd w:id="3"/>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713" w:type="pct"/>
            <w:gridSpan w:val="3"/>
            <w:tcBorders>
              <w:top w:val="single" w:color="auto" w:sz="4" w:space="0"/>
              <w:left w:val="single" w:color="auto" w:sz="12" w:space="0"/>
              <w:right w:val="single" w:color="auto" w:sz="4" w:space="0"/>
            </w:tcBorders>
            <w:vAlign w:val="center"/>
          </w:tcPr>
          <w:p>
            <w:pPr>
              <w:adjustRightInd w:val="0"/>
              <w:snapToGrid w:val="0"/>
              <w:ind w:left="1" w:leftChars="-10" w:hanging="22" w:hangingChars="11"/>
              <w:jc w:val="center"/>
              <w:rPr>
                <w:rFonts w:ascii="黑体" w:hAnsi="黑体" w:eastAsia="黑体"/>
                <w:b/>
                <w:sz w:val="20"/>
              </w:rPr>
            </w:pPr>
            <w:r>
              <w:rPr>
                <w:rFonts w:hint="eastAsia" w:ascii="黑体" w:hAnsi="黑体" w:eastAsia="黑体"/>
                <w:b/>
                <w:sz w:val="20"/>
              </w:rPr>
              <w:t>学历要求</w:t>
            </w:r>
          </w:p>
        </w:tc>
        <w:tc>
          <w:tcPr>
            <w:tcW w:w="4286" w:type="pct"/>
            <w:gridSpan w:val="6"/>
            <w:tcBorders>
              <w:top w:val="single" w:color="auto" w:sz="4" w:space="0"/>
              <w:left w:val="single" w:color="auto" w:sz="4" w:space="0"/>
              <w:right w:val="single" w:color="auto" w:sz="12" w:space="0"/>
            </w:tcBorders>
            <w:vAlign w:val="center"/>
          </w:tcPr>
          <w:p>
            <w:r>
              <w:rPr>
                <w:rFonts w:hint="eastAsia" w:ascii="黑体" w:hAnsi="黑体" w:eastAsia="黑体"/>
                <w:sz w:val="20"/>
                <w:szCs w:val="22"/>
              </w:rPr>
              <w:t>全日制大学本科及以上学历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713" w:type="pct"/>
            <w:gridSpan w:val="3"/>
            <w:tcBorders>
              <w:left w:val="single" w:color="auto" w:sz="12" w:space="0"/>
              <w:right w:val="single" w:color="auto" w:sz="4" w:space="0"/>
            </w:tcBorders>
            <w:vAlign w:val="center"/>
          </w:tcPr>
          <w:p>
            <w:pPr>
              <w:adjustRightInd w:val="0"/>
              <w:snapToGrid w:val="0"/>
              <w:ind w:left="1" w:leftChars="-10" w:hanging="22" w:hangingChars="11"/>
              <w:jc w:val="center"/>
              <w:rPr>
                <w:rFonts w:ascii="黑体" w:hAnsi="黑体" w:eastAsia="黑体"/>
                <w:b/>
                <w:sz w:val="20"/>
              </w:rPr>
            </w:pPr>
            <w:r>
              <w:rPr>
                <w:rFonts w:hint="eastAsia" w:ascii="黑体" w:hAnsi="黑体" w:eastAsia="黑体"/>
                <w:b/>
                <w:sz w:val="20"/>
              </w:rPr>
              <w:t>适合专业</w:t>
            </w:r>
          </w:p>
        </w:tc>
        <w:tc>
          <w:tcPr>
            <w:tcW w:w="4286" w:type="pct"/>
            <w:gridSpan w:val="6"/>
            <w:tcBorders>
              <w:left w:val="single" w:color="auto" w:sz="4" w:space="0"/>
              <w:bottom w:val="single" w:color="auto" w:sz="4" w:space="0"/>
              <w:right w:val="single" w:color="auto" w:sz="12" w:space="0"/>
            </w:tcBorders>
            <w:vAlign w:val="center"/>
          </w:tcPr>
          <w:p>
            <w:pPr>
              <w:adjustRightInd w:val="0"/>
              <w:snapToGrid w:val="0"/>
              <w:rPr>
                <w:rFonts w:ascii="黑体" w:hAnsi="黑体" w:eastAsia="黑体"/>
                <w:sz w:val="20"/>
                <w:szCs w:val="20"/>
              </w:rPr>
            </w:pPr>
            <w:r>
              <w:rPr>
                <w:rFonts w:hint="eastAsia" w:ascii="黑体" w:hAnsi="黑体" w:eastAsia="黑体"/>
                <w:sz w:val="20"/>
                <w:szCs w:val="22"/>
              </w:rPr>
              <w:t>计算机科学与技术、网络工程、信息安全、通信工程、信息管理与信息系统等相关专业。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713" w:type="pct"/>
            <w:gridSpan w:val="3"/>
            <w:vMerge w:val="restart"/>
            <w:tcBorders>
              <w:left w:val="single" w:color="auto" w:sz="12" w:space="0"/>
              <w:right w:val="single" w:color="auto" w:sz="4" w:space="0"/>
            </w:tcBorders>
            <w:vAlign w:val="center"/>
          </w:tcPr>
          <w:p>
            <w:pPr>
              <w:adjustRightInd w:val="0"/>
              <w:snapToGrid w:val="0"/>
              <w:jc w:val="center"/>
              <w:rPr>
                <w:rFonts w:ascii="黑体" w:hAnsi="黑体" w:eastAsia="黑体"/>
                <w:b/>
                <w:sz w:val="20"/>
              </w:rPr>
            </w:pPr>
            <w:bookmarkStart w:id="2" w:name="OLE_LINK2" w:colFirst="0" w:colLast="4"/>
            <w:r>
              <w:rPr>
                <w:rFonts w:hint="eastAsia" w:ascii="黑体" w:hAnsi="黑体" w:eastAsia="黑体"/>
                <w:b/>
                <w:sz w:val="20"/>
              </w:rPr>
              <w:t>资质要求（学历、</w:t>
            </w:r>
          </w:p>
          <w:p>
            <w:pPr>
              <w:adjustRightInd w:val="0"/>
              <w:snapToGrid w:val="0"/>
              <w:ind w:left="1" w:leftChars="-10" w:hanging="22" w:hangingChars="11"/>
              <w:jc w:val="center"/>
              <w:rPr>
                <w:rFonts w:ascii="黑体" w:hAnsi="黑体" w:eastAsia="黑体"/>
                <w:b/>
                <w:sz w:val="20"/>
              </w:rPr>
            </w:pPr>
            <w:r>
              <w:rPr>
                <w:rFonts w:hint="eastAsia" w:ascii="黑体" w:hAnsi="黑体" w:eastAsia="黑体"/>
                <w:b/>
                <w:sz w:val="20"/>
              </w:rPr>
              <w:t>专业资质、工作年限、职级）</w:t>
            </w:r>
          </w:p>
        </w:tc>
        <w:tc>
          <w:tcPr>
            <w:tcW w:w="1176" w:type="pct"/>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学历（全日制）</w:t>
            </w:r>
          </w:p>
        </w:tc>
        <w:tc>
          <w:tcPr>
            <w:tcW w:w="1029" w:type="pct"/>
            <w:gridSpan w:val="2"/>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专业资质</w:t>
            </w:r>
          </w:p>
        </w:tc>
        <w:tc>
          <w:tcPr>
            <w:tcW w:w="819" w:type="pct"/>
            <w:gridSpan w:val="2"/>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工作年限</w:t>
            </w:r>
          </w:p>
        </w:tc>
        <w:tc>
          <w:tcPr>
            <w:tcW w:w="1260" w:type="pct"/>
            <w:tcBorders>
              <w:left w:val="single" w:color="auto" w:sz="4" w:space="0"/>
              <w:right w:val="single" w:color="auto" w:sz="12" w:space="0"/>
            </w:tcBorders>
            <w:vAlign w:val="center"/>
          </w:tcPr>
          <w:p>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713" w:type="pct"/>
            <w:gridSpan w:val="3"/>
            <w:vMerge w:val="continue"/>
            <w:tcBorders>
              <w:left w:val="single" w:color="auto" w:sz="12" w:space="0"/>
              <w:right w:val="single" w:color="auto" w:sz="4" w:space="0"/>
            </w:tcBorders>
            <w:vAlign w:val="center"/>
          </w:tcPr>
          <w:p>
            <w:pPr>
              <w:adjustRightInd w:val="0"/>
              <w:snapToGrid w:val="0"/>
              <w:jc w:val="center"/>
              <w:rPr>
                <w:rFonts w:ascii="黑体" w:hAnsi="黑体" w:eastAsia="黑体"/>
                <w:b/>
                <w:sz w:val="20"/>
              </w:rPr>
            </w:pPr>
          </w:p>
        </w:tc>
        <w:tc>
          <w:tcPr>
            <w:tcW w:w="1176" w:type="pct"/>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2"/>
              </w:rPr>
              <w:t>全日制大学本科及以上</w:t>
            </w:r>
          </w:p>
        </w:tc>
        <w:tc>
          <w:tcPr>
            <w:tcW w:w="1029" w:type="pct"/>
            <w:gridSpan w:val="2"/>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数据分析、运营、安全管理相关工作经历</w:t>
            </w:r>
          </w:p>
        </w:tc>
        <w:tc>
          <w:tcPr>
            <w:tcW w:w="819" w:type="pct"/>
            <w:gridSpan w:val="2"/>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5 年或以上</w:t>
            </w:r>
          </w:p>
        </w:tc>
        <w:tc>
          <w:tcPr>
            <w:tcW w:w="1260" w:type="pct"/>
            <w:tcBorders>
              <w:left w:val="single" w:color="auto" w:sz="4" w:space="0"/>
              <w:right w:val="single" w:color="auto" w:sz="12" w:space="0"/>
            </w:tcBorders>
            <w:vAlign w:val="center"/>
          </w:tcPr>
          <w:p>
            <w:pPr>
              <w:adjustRightInd w:val="0"/>
              <w:snapToGrid w:val="0"/>
              <w:ind w:left="1" w:leftChars="-10" w:hanging="22" w:hangingChars="11"/>
              <w:jc w:val="center"/>
              <w:rPr>
                <w:rFonts w:ascii="黑体" w:hAnsi="黑体" w:eastAsia="黑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713" w:type="pct"/>
            <w:gridSpan w:val="3"/>
            <w:vMerge w:val="continue"/>
            <w:tcBorders>
              <w:left w:val="single" w:color="auto" w:sz="12" w:space="0"/>
              <w:right w:val="single" w:color="auto" w:sz="4" w:space="0"/>
            </w:tcBorders>
            <w:vAlign w:val="center"/>
          </w:tcPr>
          <w:p>
            <w:pPr>
              <w:adjustRightInd w:val="0"/>
              <w:snapToGrid w:val="0"/>
              <w:jc w:val="center"/>
              <w:rPr>
                <w:rFonts w:ascii="黑体" w:hAnsi="黑体" w:eastAsia="黑体"/>
                <w:b/>
                <w:sz w:val="20"/>
              </w:rPr>
            </w:pPr>
          </w:p>
        </w:tc>
        <w:tc>
          <w:tcPr>
            <w:tcW w:w="1176" w:type="pct"/>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color w:val="000000" w:themeColor="text1"/>
                <w:sz w:val="20"/>
                <w:szCs w:val="20"/>
              </w:rPr>
            </w:pPr>
            <w:r>
              <w:rPr>
                <w:rFonts w:hint="eastAsia" w:ascii="黑体" w:hAnsi="黑体" w:eastAsia="黑体"/>
                <w:color w:val="000000" w:themeColor="text1"/>
                <w:sz w:val="20"/>
                <w:szCs w:val="20"/>
              </w:rPr>
              <w:t>全日制硕士研究生及以上</w:t>
            </w:r>
          </w:p>
        </w:tc>
        <w:tc>
          <w:tcPr>
            <w:tcW w:w="1029" w:type="pct"/>
            <w:gridSpan w:val="2"/>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数据分析、运营、安全管理相关工作经历</w:t>
            </w:r>
          </w:p>
        </w:tc>
        <w:tc>
          <w:tcPr>
            <w:tcW w:w="819" w:type="pct"/>
            <w:gridSpan w:val="2"/>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ascii="黑体" w:hAnsi="黑体" w:eastAsia="黑体"/>
                <w:sz w:val="20"/>
                <w:szCs w:val="20"/>
              </w:rPr>
              <w:t>3</w:t>
            </w:r>
            <w:r>
              <w:rPr>
                <w:rFonts w:hint="eastAsia" w:ascii="黑体" w:hAnsi="黑体" w:eastAsia="黑体"/>
                <w:sz w:val="20"/>
                <w:szCs w:val="20"/>
              </w:rPr>
              <w:t xml:space="preserve"> 年或以上</w:t>
            </w:r>
          </w:p>
        </w:tc>
        <w:tc>
          <w:tcPr>
            <w:tcW w:w="1260" w:type="pct"/>
            <w:tcBorders>
              <w:left w:val="single" w:color="auto" w:sz="4" w:space="0"/>
              <w:right w:val="single" w:color="auto" w:sz="12" w:space="0"/>
            </w:tcBorders>
            <w:vAlign w:val="center"/>
          </w:tcPr>
          <w:p>
            <w:pPr>
              <w:adjustRightInd w:val="0"/>
              <w:snapToGrid w:val="0"/>
              <w:ind w:left="1" w:leftChars="-10" w:hanging="22" w:hangingChars="11"/>
              <w:jc w:val="center"/>
              <w:rPr>
                <w:rFonts w:ascii="黑体" w:hAnsi="黑体" w:eastAsia="黑体"/>
                <w:sz w:val="20"/>
                <w:szCs w:val="20"/>
              </w:rPr>
            </w:pP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65" w:hRule="atLeast"/>
          <w:jc w:val="center"/>
        </w:trPr>
        <w:tc>
          <w:tcPr>
            <w:tcW w:w="713" w:type="pct"/>
            <w:gridSpan w:val="3"/>
            <w:tcBorders>
              <w:top w:val="single" w:color="auto" w:sz="4" w:space="0"/>
              <w:left w:val="single" w:color="auto" w:sz="12" w:space="0"/>
              <w:bottom w:val="single" w:color="auto" w:sz="4" w:space="0"/>
              <w:right w:val="single" w:color="auto" w:sz="4" w:space="0"/>
            </w:tcBorders>
            <w:shd w:val="clear" w:color="auto" w:fill="FFFFFF"/>
            <w:vAlign w:val="center"/>
          </w:tcPr>
          <w:p>
            <w:pPr>
              <w:jc w:val="center"/>
              <w:rPr>
                <w:rFonts w:ascii="黑体" w:hAnsi="黑体" w:eastAsia="黑体"/>
                <w:b/>
                <w:sz w:val="20"/>
              </w:rPr>
            </w:pPr>
            <w:r>
              <w:rPr>
                <w:rFonts w:hint="eastAsia" w:ascii="黑体" w:hAnsi="黑体" w:eastAsia="黑体"/>
                <w:b/>
                <w:sz w:val="20"/>
              </w:rPr>
              <w:t>知识技能</w:t>
            </w:r>
          </w:p>
        </w:tc>
        <w:tc>
          <w:tcPr>
            <w:tcW w:w="4286" w:type="pct"/>
            <w:gridSpan w:val="6"/>
            <w:tcBorders>
              <w:top w:val="single" w:color="auto" w:sz="4" w:space="0"/>
              <w:left w:val="single" w:color="auto" w:sz="4" w:space="0"/>
              <w:bottom w:val="single" w:color="auto" w:sz="4" w:space="0"/>
              <w:right w:val="single" w:color="auto" w:sz="12" w:space="0"/>
            </w:tcBorders>
            <w:vAlign w:val="center"/>
          </w:tcPr>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掌握数据分析基础理论与方法，熟悉 SQL 数据查询、Python（Pandas、NumPy）等数据分析工具使用，能独立完成数据清洗、统计分析工作；</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具备数据安全领域数据建模能力，能设计贴合业务的数据分析维度与关键指标（如风险发生率、合规达标率等）；</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熟悉数据可视化工具（如 Tableau、Power BI），能将分析结果转化为直观易懂的可视化报告，支撑决策传达。</w:t>
            </w:r>
          </w:p>
          <w:p>
            <w:pPr>
              <w:numPr>
                <w:ilvl w:val="0"/>
                <w:numId w:val="2"/>
              </w:numPr>
              <w:adjustRightInd w:val="0"/>
              <w:snapToGrid w:val="0"/>
              <w:rPr>
                <w:rFonts w:ascii="黑体" w:hAnsi="黑体" w:eastAsia="黑体"/>
                <w:sz w:val="20"/>
                <w:szCs w:val="22"/>
              </w:rPr>
            </w:pPr>
            <w:r>
              <w:rPr>
                <w:rFonts w:hint="eastAsia" w:ascii="黑体" w:hAnsi="黑体" w:eastAsia="黑体" w:cs="Times New Roman"/>
                <w:color w:val="000000"/>
                <w:sz w:val="20"/>
                <w:szCs w:val="20"/>
              </w:rPr>
              <w:t>掌握</w:t>
            </w:r>
            <w:r>
              <w:rPr>
                <w:rFonts w:ascii="黑体" w:hAnsi="黑体" w:eastAsia="黑体" w:cs="Times New Roman"/>
                <w:color w:val="000000"/>
                <w:sz w:val="20"/>
                <w:szCs w:val="20"/>
              </w:rPr>
              <w:t>国内数据安全和网络安全的法律法规，</w:t>
            </w:r>
            <w:r>
              <w:rPr>
                <w:rFonts w:hint="eastAsia" w:ascii="黑体" w:hAnsi="黑体" w:eastAsia="黑体"/>
                <w:sz w:val="20"/>
                <w:szCs w:val="22"/>
              </w:rPr>
              <w:t>具有数据安全治理、数据安全风险评估、个人信息保护、 DSMM相关工作经验；</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掌握数据领域主流的产品、技术，方案相关知识，参与过数据安全相关规划咨询、产品规划/开发、整体解决方案设计等工作；</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掌握网络和数据分类分级保护的策略和实施，</w:t>
            </w:r>
            <w:r>
              <w:rPr>
                <w:rFonts w:hint="eastAsia" w:ascii="黑体" w:hAnsi="黑体" w:eastAsia="黑体" w:cs="Times New Roman"/>
                <w:color w:val="000000"/>
                <w:sz w:val="20"/>
                <w:szCs w:val="20"/>
              </w:rPr>
              <w:t>具备组织、协调编制</w:t>
            </w:r>
            <w:r>
              <w:rPr>
                <w:rFonts w:ascii="黑体" w:hAnsi="黑体" w:eastAsia="黑体" w:cs="Times New Roman"/>
                <w:color w:val="000000"/>
                <w:sz w:val="20"/>
                <w:szCs w:val="20"/>
              </w:rPr>
              <w:t>网络安全应急预案的编制和应急响应流程能力；</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掌握信创相关技术知识；</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熟悉国际主要数据安全/网络安全相关政策法规与标准规范和技术框架；</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验熟悉主流信息化、网络安全技术，具有一定信息化工作经；</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熟悉软件正版化管理；</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熟悉项目管理知识，具有企业信息化相关工作经验优先；</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具有较强的建设规划能力，能够完成相应安全体系规划、设计及配套解决方案编制，能够牵头组织企业安全建设、完善相关工作；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77" w:hRule="atLeast"/>
          <w:jc w:val="center"/>
        </w:trPr>
        <w:tc>
          <w:tcPr>
            <w:tcW w:w="713" w:type="pct"/>
            <w:gridSpan w:val="3"/>
            <w:tcBorders>
              <w:top w:val="single" w:color="auto" w:sz="4" w:space="0"/>
              <w:left w:val="single" w:color="auto" w:sz="12" w:space="0"/>
              <w:bottom w:val="single" w:color="auto" w:sz="4" w:space="0"/>
              <w:right w:val="single" w:color="auto" w:sz="4" w:space="0"/>
            </w:tcBorders>
            <w:vAlign w:val="center"/>
          </w:tcPr>
          <w:p>
            <w:pPr>
              <w:jc w:val="center"/>
              <w:rPr>
                <w:rFonts w:ascii="黑体" w:hAnsi="黑体" w:eastAsia="黑体"/>
                <w:b/>
                <w:sz w:val="20"/>
              </w:rPr>
            </w:pPr>
            <w:r>
              <w:rPr>
                <w:rFonts w:hint="eastAsia" w:ascii="黑体" w:hAnsi="黑体" w:eastAsia="黑体"/>
                <w:b/>
                <w:sz w:val="20"/>
              </w:rPr>
              <w:t>行为素质</w:t>
            </w:r>
          </w:p>
        </w:tc>
        <w:tc>
          <w:tcPr>
            <w:tcW w:w="4286" w:type="pct"/>
            <w:gridSpan w:val="6"/>
            <w:tcBorders>
              <w:top w:val="single" w:color="auto" w:sz="4" w:space="0"/>
              <w:left w:val="single" w:color="auto" w:sz="4" w:space="0"/>
              <w:bottom w:val="single" w:color="auto" w:sz="4" w:space="0"/>
              <w:right w:val="single" w:color="auto" w:sz="12" w:space="0"/>
            </w:tcBorders>
            <w:vAlign w:val="center"/>
          </w:tcPr>
          <w:p>
            <w:pPr>
              <w:numPr>
                <w:ilvl w:val="0"/>
                <w:numId w:val="3"/>
              </w:numPr>
              <w:adjustRightInd w:val="0"/>
              <w:snapToGrid w:val="0"/>
              <w:rPr>
                <w:rFonts w:ascii="黑体" w:hAnsi="黑体" w:eastAsia="黑体"/>
                <w:sz w:val="20"/>
                <w:szCs w:val="22"/>
              </w:rPr>
            </w:pPr>
            <w:r>
              <w:rPr>
                <w:rFonts w:hint="eastAsia" w:ascii="黑体" w:hAnsi="黑体" w:eastAsia="黑体"/>
                <w:sz w:val="20"/>
                <w:szCs w:val="22"/>
              </w:rPr>
              <w:t>具有较强沟通与协作能力，能够向技术和非技术人员解释复杂的安全问题和策略，能够与其他部门、管理层和外部供应商协调，推动安全措施的实施。</w:t>
            </w:r>
          </w:p>
          <w:p>
            <w:pPr>
              <w:numPr>
                <w:ilvl w:val="0"/>
                <w:numId w:val="3"/>
              </w:numPr>
              <w:adjustRightInd w:val="0"/>
              <w:snapToGrid w:val="0"/>
              <w:rPr>
                <w:rFonts w:ascii="黑体" w:hAnsi="黑体" w:eastAsia="黑体"/>
                <w:sz w:val="20"/>
                <w:szCs w:val="22"/>
              </w:rPr>
            </w:pPr>
            <w:r>
              <w:rPr>
                <w:rFonts w:hint="eastAsia" w:ascii="黑体" w:hAnsi="黑体" w:eastAsia="黑体"/>
                <w:sz w:val="20"/>
                <w:szCs w:val="22"/>
              </w:rPr>
              <w:t>具有较强的团队意识，能在部门内外建立良好的工作关系；</w:t>
            </w:r>
          </w:p>
          <w:p>
            <w:pPr>
              <w:numPr>
                <w:ilvl w:val="0"/>
                <w:numId w:val="3"/>
              </w:numPr>
              <w:adjustRightInd w:val="0"/>
              <w:snapToGrid w:val="0"/>
              <w:rPr>
                <w:rFonts w:ascii="黑体" w:hAnsi="黑体" w:eastAsia="黑体"/>
                <w:sz w:val="20"/>
                <w:szCs w:val="22"/>
              </w:rPr>
            </w:pPr>
            <w:r>
              <w:rPr>
                <w:rFonts w:hint="eastAsia" w:ascii="黑体" w:hAnsi="黑体" w:eastAsia="黑体"/>
                <w:sz w:val="20"/>
                <w:szCs w:val="22"/>
              </w:rPr>
              <w:t>具有较强的开发能力，对信息技术领域的新信息、新知识具有相当的敏感性，能够迅速更新自身的知识内容；</w:t>
            </w:r>
          </w:p>
          <w:p>
            <w:pPr>
              <w:numPr>
                <w:ilvl w:val="0"/>
                <w:numId w:val="3"/>
              </w:numPr>
              <w:adjustRightInd w:val="0"/>
              <w:snapToGrid w:val="0"/>
              <w:rPr>
                <w:rFonts w:ascii="黑体" w:hAnsi="黑体" w:eastAsia="黑体"/>
                <w:sz w:val="20"/>
                <w:szCs w:val="22"/>
              </w:rPr>
            </w:pPr>
            <w:r>
              <w:rPr>
                <w:rFonts w:hint="eastAsia" w:ascii="黑体" w:hAnsi="黑体" w:eastAsia="黑体"/>
                <w:sz w:val="20"/>
                <w:szCs w:val="22"/>
              </w:rPr>
              <w:t>具有较强的问题分析与解决能力，善于总结积累；工作踏实细致，责任心强，具有积极进取精神；</w:t>
            </w:r>
          </w:p>
          <w:p>
            <w:pPr>
              <w:numPr>
                <w:ilvl w:val="0"/>
                <w:numId w:val="3"/>
              </w:numPr>
              <w:adjustRightInd w:val="0"/>
              <w:snapToGrid w:val="0"/>
              <w:rPr>
                <w:rFonts w:ascii="黑体" w:hAnsi="黑体" w:eastAsia="黑体"/>
                <w:sz w:val="20"/>
                <w:szCs w:val="22"/>
              </w:rPr>
            </w:pPr>
            <w:r>
              <w:rPr>
                <w:rFonts w:hint="eastAsia" w:ascii="黑体" w:hAnsi="黑体" w:eastAsia="黑体"/>
                <w:sz w:val="20"/>
                <w:szCs w:val="22"/>
              </w:rPr>
              <w:t>具有开放性的思维观念以及良好的学习创新能力；</w:t>
            </w:r>
          </w:p>
          <w:p>
            <w:pPr>
              <w:numPr>
                <w:ilvl w:val="0"/>
                <w:numId w:val="3"/>
              </w:numPr>
              <w:adjustRightInd w:val="0"/>
              <w:snapToGrid w:val="0"/>
              <w:rPr>
                <w:rFonts w:ascii="黑体" w:hAnsi="黑体" w:eastAsia="黑体"/>
                <w:sz w:val="20"/>
              </w:rPr>
            </w:pPr>
            <w:r>
              <w:rPr>
                <w:rFonts w:hint="eastAsia" w:ascii="黑体" w:hAnsi="黑体" w:eastAsia="黑体"/>
                <w:sz w:val="20"/>
                <w:szCs w:val="22"/>
              </w:rPr>
              <w:t>具有强烈的保密意识：严格遵守保密规定，不泄露任何工作敏感信息和数据</w:t>
            </w:r>
          </w:p>
          <w:p>
            <w:pPr>
              <w:numPr>
                <w:ilvl w:val="0"/>
                <w:numId w:val="3"/>
              </w:numPr>
              <w:adjustRightInd w:val="0"/>
              <w:snapToGrid w:val="0"/>
              <w:rPr>
                <w:rFonts w:ascii="黑体" w:hAnsi="黑体" w:eastAsia="黑体"/>
                <w:sz w:val="20"/>
              </w:rPr>
            </w:pPr>
            <w:r>
              <w:rPr>
                <w:rFonts w:hint="eastAsia" w:ascii="黑体" w:hAnsi="黑体" w:eastAsia="黑体"/>
                <w:sz w:val="20"/>
                <w:szCs w:val="22"/>
              </w:rPr>
              <w:t>逻辑思维清晰，能够独立、按时、高质量地完成工作；</w:t>
            </w:r>
          </w:p>
          <w:p>
            <w:pPr>
              <w:numPr>
                <w:ilvl w:val="0"/>
                <w:numId w:val="3"/>
              </w:numPr>
              <w:adjustRightInd w:val="0"/>
              <w:snapToGrid w:val="0"/>
              <w:rPr>
                <w:rFonts w:ascii="黑体" w:hAnsi="黑体" w:eastAsia="黑体"/>
                <w:sz w:val="20"/>
              </w:rPr>
            </w:pPr>
            <w:r>
              <w:rPr>
                <w:rFonts w:hint="eastAsia" w:ascii="黑体" w:hAnsi="黑体" w:eastAsia="黑体"/>
                <w:sz w:val="20"/>
                <w:szCs w:val="22"/>
              </w:rPr>
              <w:t>有一定的文档能力、语言沟通和组织协调能力，自我学习和抗压能力强。</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54D26"/>
    <w:multiLevelType w:val="singleLevel"/>
    <w:tmpl w:val="9B154D26"/>
    <w:lvl w:ilvl="0" w:tentative="0">
      <w:start w:val="1"/>
      <w:numFmt w:val="decimal"/>
      <w:lvlText w:val="%1."/>
      <w:lvlJc w:val="left"/>
      <w:pPr>
        <w:ind w:left="425" w:hanging="425"/>
      </w:pPr>
      <w:rPr>
        <w:rFonts w:hint="default"/>
      </w:rPr>
    </w:lvl>
  </w:abstractNum>
  <w:abstractNum w:abstractNumId="1">
    <w:nsid w:val="3EE68276"/>
    <w:multiLevelType w:val="singleLevel"/>
    <w:tmpl w:val="3EE68276"/>
    <w:lvl w:ilvl="0" w:tentative="0">
      <w:start w:val="1"/>
      <w:numFmt w:val="decimal"/>
      <w:lvlText w:val="%1."/>
      <w:lvlJc w:val="left"/>
      <w:pPr>
        <w:ind w:left="425" w:hanging="425"/>
      </w:pPr>
      <w:rPr>
        <w:rFonts w:hint="default"/>
      </w:rPr>
    </w:lvl>
  </w:abstractNum>
  <w:abstractNum w:abstractNumId="2">
    <w:nsid w:val="66465070"/>
    <w:multiLevelType w:val="singleLevel"/>
    <w:tmpl w:val="66465070"/>
    <w:lvl w:ilvl="0" w:tentative="0">
      <w:start w:val="1"/>
      <w:numFmt w:val="decimal"/>
      <w:lvlText w:val="%1."/>
      <w:lvlJc w:val="left"/>
      <w:pPr>
        <w:ind w:left="425" w:hanging="425"/>
      </w:pPr>
      <w:rPr>
        <w:rFonts w:hint="default" w:ascii="黑体" w:hAnsi="黑体" w:eastAsia="黑体"/>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A6181"/>
    <w:rsid w:val="001A0B52"/>
    <w:rsid w:val="001B362C"/>
    <w:rsid w:val="001E220C"/>
    <w:rsid w:val="002308B8"/>
    <w:rsid w:val="00232E7A"/>
    <w:rsid w:val="00242426"/>
    <w:rsid w:val="003754BE"/>
    <w:rsid w:val="004766AA"/>
    <w:rsid w:val="004809B9"/>
    <w:rsid w:val="0057128F"/>
    <w:rsid w:val="005825BA"/>
    <w:rsid w:val="005C2512"/>
    <w:rsid w:val="005E6D46"/>
    <w:rsid w:val="005F21C3"/>
    <w:rsid w:val="0067735B"/>
    <w:rsid w:val="006978A2"/>
    <w:rsid w:val="0074731C"/>
    <w:rsid w:val="00747DFB"/>
    <w:rsid w:val="007D3572"/>
    <w:rsid w:val="0081413D"/>
    <w:rsid w:val="00821F40"/>
    <w:rsid w:val="008E2CD3"/>
    <w:rsid w:val="00AE0D6B"/>
    <w:rsid w:val="00BA3803"/>
    <w:rsid w:val="00BA6181"/>
    <w:rsid w:val="00C67428"/>
    <w:rsid w:val="00C72461"/>
    <w:rsid w:val="00CF27FA"/>
    <w:rsid w:val="00CF4ECC"/>
    <w:rsid w:val="00DA1426"/>
    <w:rsid w:val="00E34756"/>
    <w:rsid w:val="00F122B5"/>
    <w:rsid w:val="00F54B62"/>
    <w:rsid w:val="0A2D25B7"/>
    <w:rsid w:val="14F0776F"/>
    <w:rsid w:val="16493207"/>
    <w:rsid w:val="17C66A18"/>
    <w:rsid w:val="1CA44A0F"/>
    <w:rsid w:val="1CB62F21"/>
    <w:rsid w:val="1F634974"/>
    <w:rsid w:val="257223E1"/>
    <w:rsid w:val="27894E97"/>
    <w:rsid w:val="2CFD6A67"/>
    <w:rsid w:val="34B21248"/>
    <w:rsid w:val="38237904"/>
    <w:rsid w:val="395D1FA7"/>
    <w:rsid w:val="40D043A1"/>
    <w:rsid w:val="45A71C20"/>
    <w:rsid w:val="47A1654B"/>
    <w:rsid w:val="491C2DD4"/>
    <w:rsid w:val="49836455"/>
    <w:rsid w:val="4FA170B1"/>
    <w:rsid w:val="57D8245C"/>
    <w:rsid w:val="62297E0B"/>
    <w:rsid w:val="6CBB78A0"/>
    <w:rsid w:val="70C61486"/>
    <w:rsid w:val="71E70BE9"/>
    <w:rsid w:val="763F69C9"/>
    <w:rsid w:val="77B539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semiHidden/>
    <w:qFormat/>
    <w:uiPriority w:val="0"/>
    <w:rPr>
      <w:rFonts w:hint="eastAsia" w:ascii="宋体" w:hAnsi="Courier New"/>
      <w:szCs w:val="20"/>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customStyle="1" w:styleId="8">
    <w:name w:val="页眉 Char"/>
    <w:basedOn w:val="6"/>
    <w:link w:val="4"/>
    <w:qFormat/>
    <w:uiPriority w:val="0"/>
    <w:rPr>
      <w:rFonts w:asciiTheme="minorHAnsi" w:hAnsiTheme="minorHAnsi" w:eastAsiaTheme="minorEastAsia" w:cstheme="minorBidi"/>
      <w:kern w:val="2"/>
      <w:sz w:val="18"/>
      <w:szCs w:val="18"/>
    </w:rPr>
  </w:style>
  <w:style w:type="character" w:customStyle="1" w:styleId="9">
    <w:name w:val="页脚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1986</Words>
  <Characters>2021</Characters>
  <Lines>15</Lines>
  <Paragraphs>4</Paragraphs>
  <TotalTime>306</TotalTime>
  <ScaleCrop>false</ScaleCrop>
  <LinksUpToDate>false</LinksUpToDate>
  <CharactersWithSpaces>2062</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2025-10-11T06:20:00Z</dcterms:created>
  <dc:creator>chenx</dc:creator>
  <cp:lastModifiedBy>admin</cp:lastModifiedBy>
  <dcterms:modified xsi:type="dcterms:W3CDTF">2025-11-14T07:28:22Z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47022AEC5949487D9369FCE53AA63473</vt:lpwstr>
  </property>
  <property fmtid="{D5CDD505-2E9C-101B-9397-08002B2CF9AE}" pid="4" name="KSOTemplateDocerSaveRecord">
    <vt:lpwstr>eyJoZGlkIjoiMzc2MDFhNjFiODQxZDJmZjI0MDE3NTkwYmU4MzhhZjUiLCJ1c2VySWQiOiIxNjQyNzAyMDA0In0=</vt:lpwstr>
  </property>
</Properties>
</file>