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8D0D0">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小标宋简体" w:cs="Times New Roman"/>
          <w:b w:val="0"/>
          <w:bCs/>
          <w:color w:val="auto"/>
          <w:sz w:val="44"/>
          <w:szCs w:val="44"/>
          <w:highlight w:val="none"/>
          <w:u w:val="none"/>
        </w:rPr>
      </w:pPr>
    </w:p>
    <w:p w14:paraId="0056565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eastAsia="zh-CN"/>
        </w:rPr>
      </w:pPr>
      <w:r>
        <w:rPr>
          <w:rFonts w:hint="default" w:ascii="Times New Roman" w:hAnsi="Times New Roman" w:eastAsia="方正小标宋简体" w:cs="Times New Roman"/>
          <w:b w:val="0"/>
          <w:bCs/>
          <w:color w:val="auto"/>
          <w:sz w:val="44"/>
          <w:szCs w:val="44"/>
          <w:highlight w:val="none"/>
          <w:u w:val="none"/>
        </w:rPr>
        <w:t>通辽市</w:t>
      </w:r>
      <w:r>
        <w:rPr>
          <w:rFonts w:hint="default" w:ascii="Times New Roman" w:hAnsi="Times New Roman" w:eastAsia="方正小标宋简体" w:cs="Times New Roman"/>
          <w:b w:val="0"/>
          <w:bCs/>
          <w:color w:val="auto"/>
          <w:sz w:val="44"/>
          <w:szCs w:val="44"/>
          <w:highlight w:val="none"/>
          <w:u w:val="none"/>
          <w:lang w:eastAsia="zh-CN"/>
        </w:rPr>
        <w:t>直事业单位</w:t>
      </w:r>
      <w:r>
        <w:rPr>
          <w:rFonts w:hint="default" w:ascii="Times New Roman" w:hAnsi="Times New Roman" w:eastAsia="方正小标宋简体" w:cs="Times New Roman"/>
          <w:b w:val="0"/>
          <w:bCs/>
          <w:color w:val="auto"/>
          <w:sz w:val="44"/>
          <w:szCs w:val="44"/>
          <w:highlight w:val="none"/>
          <w:u w:val="none"/>
          <w:lang w:val="en-US" w:eastAsia="zh-CN"/>
        </w:rPr>
        <w:t>2026</w:t>
      </w:r>
      <w:r>
        <w:rPr>
          <w:rFonts w:hint="default" w:ascii="Times New Roman" w:hAnsi="Times New Roman" w:eastAsia="方正小标宋简体" w:cs="Times New Roman"/>
          <w:b w:val="0"/>
          <w:bCs/>
          <w:color w:val="auto"/>
          <w:sz w:val="44"/>
          <w:szCs w:val="44"/>
          <w:highlight w:val="none"/>
          <w:u w:val="none"/>
        </w:rPr>
        <w:t>年</w:t>
      </w:r>
      <w:r>
        <w:rPr>
          <w:rFonts w:hint="default" w:ascii="Times New Roman" w:hAnsi="Times New Roman" w:eastAsia="方正小标宋简体" w:cs="Times New Roman"/>
          <w:b w:val="0"/>
          <w:bCs/>
          <w:color w:val="auto"/>
          <w:sz w:val="44"/>
          <w:szCs w:val="44"/>
          <w:highlight w:val="none"/>
          <w:u w:val="none"/>
          <w:lang w:eastAsia="zh-CN"/>
        </w:rPr>
        <w:t>第</w:t>
      </w:r>
      <w:r>
        <w:rPr>
          <w:rFonts w:hint="default" w:ascii="Times New Roman" w:hAnsi="Times New Roman" w:eastAsia="方正小标宋简体" w:cs="Times New Roman"/>
          <w:b w:val="0"/>
          <w:bCs/>
          <w:color w:val="auto"/>
          <w:sz w:val="44"/>
          <w:szCs w:val="44"/>
          <w:highlight w:val="none"/>
          <w:u w:val="none"/>
          <w:lang w:val="en-US" w:eastAsia="zh-CN"/>
        </w:rPr>
        <w:t>一</w:t>
      </w:r>
      <w:r>
        <w:rPr>
          <w:rFonts w:hint="default" w:ascii="Times New Roman" w:hAnsi="Times New Roman" w:eastAsia="方正小标宋简体" w:cs="Times New Roman"/>
          <w:b w:val="0"/>
          <w:bCs/>
          <w:color w:val="auto"/>
          <w:sz w:val="44"/>
          <w:szCs w:val="44"/>
          <w:highlight w:val="none"/>
          <w:u w:val="none"/>
          <w:lang w:eastAsia="zh-CN"/>
        </w:rPr>
        <w:t>批次</w:t>
      </w:r>
    </w:p>
    <w:p w14:paraId="0646301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rPr>
        <w:t>人才引进</w:t>
      </w:r>
      <w:r>
        <w:rPr>
          <w:rFonts w:hint="default" w:ascii="Times New Roman" w:hAnsi="Times New Roman" w:eastAsia="方正小标宋简体" w:cs="Times New Roman"/>
          <w:b w:val="0"/>
          <w:bCs/>
          <w:color w:val="auto"/>
          <w:sz w:val="44"/>
          <w:szCs w:val="44"/>
          <w:highlight w:val="none"/>
          <w:u w:val="none"/>
          <w:lang w:val="en-US" w:eastAsia="zh-CN"/>
        </w:rPr>
        <w:t>公告</w:t>
      </w:r>
    </w:p>
    <w:p w14:paraId="7725E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p>
    <w:p w14:paraId="79C364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t>按照市委、市政府关于人才工作的部署要求，为进一步充实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单位人才力量，优化</w:t>
      </w:r>
      <w:r>
        <w:rPr>
          <w:rFonts w:hint="default" w:ascii="Times New Roman" w:hAnsi="Times New Roman" w:eastAsia="仿宋" w:cs="Times New Roman"/>
          <w:color w:val="auto"/>
          <w:sz w:val="32"/>
          <w:szCs w:val="32"/>
          <w:highlight w:val="none"/>
          <w:u w:val="none"/>
          <w:lang w:eastAsia="zh-CN"/>
        </w:rPr>
        <w:t>事业</w:t>
      </w:r>
      <w:r>
        <w:rPr>
          <w:rFonts w:hint="default" w:ascii="Times New Roman" w:hAnsi="Times New Roman" w:eastAsia="仿宋" w:cs="Times New Roman"/>
          <w:color w:val="auto"/>
          <w:sz w:val="32"/>
          <w:szCs w:val="32"/>
          <w:highlight w:val="none"/>
          <w:u w:val="none"/>
        </w:rPr>
        <w:t>单位干部队伍结构，根据《</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w:t>
      </w:r>
      <w:r>
        <w:rPr>
          <w:rFonts w:hint="default" w:ascii="Times New Roman" w:hAnsi="Times New Roman" w:eastAsia="仿宋" w:cs="Times New Roman"/>
          <w:color w:val="auto"/>
          <w:sz w:val="32"/>
          <w:szCs w:val="32"/>
          <w:highlight w:val="none"/>
          <w:u w:val="none"/>
        </w:rPr>
        <w:t>》，结合用人单位实际需求，决定面向社会公开引进一批高层次、急需紧缺人才。现将有关事宜公告如下：</w:t>
      </w:r>
    </w:p>
    <w:p w14:paraId="71AA050A">
      <w:pPr>
        <w:keepNext w:val="0"/>
        <w:keepLines w:val="0"/>
        <w:pageBreakBefore w:val="0"/>
        <w:widowControl w:val="0"/>
        <w:tabs>
          <w:tab w:val="left" w:pos="4500"/>
        </w:tabs>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3C1179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w:t>
      </w:r>
      <w:r>
        <w:rPr>
          <w:rFonts w:hint="eastAsia" w:ascii="Times New Roman" w:hAnsi="Times New Roman" w:eastAsia="仿宋" w:cs="Times New Roman"/>
          <w:color w:val="auto"/>
          <w:sz w:val="32"/>
          <w:szCs w:val="32"/>
          <w:highlight w:val="none"/>
          <w:u w:val="none"/>
          <w:lang w:val="en-US" w:eastAsia="zh-CN"/>
        </w:rPr>
        <w:t>市直事业单位</w:t>
      </w:r>
      <w:r>
        <w:rPr>
          <w:rFonts w:hint="default" w:ascii="Times New Roman" w:hAnsi="Times New Roman" w:eastAsia="仿宋" w:cs="Times New Roman"/>
          <w:color w:val="auto"/>
          <w:sz w:val="32"/>
          <w:szCs w:val="32"/>
          <w:highlight w:val="none"/>
          <w:u w:val="none"/>
          <w:lang w:val="en-US" w:eastAsia="zh-CN"/>
        </w:rPr>
        <w:t>计划引进高层次、急需紧缺人才</w:t>
      </w:r>
      <w:r>
        <w:rPr>
          <w:rFonts w:hint="eastAsia" w:ascii="Times New Roman" w:hAnsi="Times New Roman" w:eastAsia="仿宋" w:cs="Times New Roman"/>
          <w:color w:val="auto"/>
          <w:sz w:val="32"/>
          <w:szCs w:val="32"/>
          <w:highlight w:val="none"/>
          <w:u w:val="none"/>
          <w:lang w:val="en-US" w:eastAsia="zh-CN"/>
        </w:rPr>
        <w:t>348</w:t>
      </w:r>
      <w:r>
        <w:rPr>
          <w:rFonts w:hint="default" w:ascii="Times New Roman" w:hAnsi="Times New Roman" w:eastAsia="仿宋" w:cs="Times New Roman"/>
          <w:color w:val="auto"/>
          <w:sz w:val="32"/>
          <w:szCs w:val="32"/>
          <w:highlight w:val="none"/>
          <w:u w:val="none"/>
          <w:lang w:val="en-US" w:eastAsia="zh-CN"/>
        </w:rPr>
        <w:t>名。其中，通辽市农牧业科学院</w:t>
      </w:r>
      <w:r>
        <w:rPr>
          <w:rFonts w:hint="eastAsia" w:ascii="Times New Roman" w:hAnsi="Times New Roman" w:eastAsia="仿宋" w:cs="Times New Roman"/>
          <w:color w:val="auto"/>
          <w:sz w:val="32"/>
          <w:szCs w:val="32"/>
          <w:highlight w:val="none"/>
          <w:u w:val="none"/>
          <w:lang w:val="en-US" w:eastAsia="zh-CN"/>
        </w:rPr>
        <w:t>按照博士后进站程序进行，其他岗位按本公告程序进行；按照岗位类型区分，</w:t>
      </w:r>
      <w:r>
        <w:rPr>
          <w:rFonts w:hint="default" w:ascii="Times New Roman" w:hAnsi="Times New Roman" w:eastAsia="仿宋" w:cs="Times New Roman"/>
          <w:color w:val="auto"/>
          <w:sz w:val="32"/>
          <w:szCs w:val="32"/>
          <w:highlight w:val="none"/>
          <w:u w:val="none"/>
          <w:lang w:val="en-US" w:eastAsia="zh-CN"/>
        </w:rPr>
        <w:t>综合类岗位</w:t>
      </w:r>
      <w:r>
        <w:rPr>
          <w:rFonts w:hint="eastAsia" w:ascii="Times New Roman" w:hAnsi="Times New Roman" w:eastAsia="仿宋" w:cs="Times New Roman"/>
          <w:color w:val="auto"/>
          <w:sz w:val="32"/>
          <w:szCs w:val="32"/>
          <w:highlight w:val="none"/>
          <w:u w:val="none"/>
          <w:lang w:val="en-US" w:eastAsia="zh-CN"/>
        </w:rPr>
        <w:t>68</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1），</w:t>
      </w:r>
      <w:r>
        <w:rPr>
          <w:rFonts w:hint="eastAsia" w:ascii="Times New Roman" w:hAnsi="Times New Roman" w:eastAsia="仿宋" w:cs="Times New Roman"/>
          <w:color w:val="auto"/>
          <w:sz w:val="32"/>
          <w:szCs w:val="32"/>
          <w:highlight w:val="none"/>
          <w:u w:val="none"/>
          <w:lang w:val="en-US" w:eastAsia="zh-CN"/>
        </w:rPr>
        <w:t>卫健系统医疗</w:t>
      </w:r>
      <w:r>
        <w:rPr>
          <w:rFonts w:hint="default" w:ascii="Times New Roman" w:hAnsi="Times New Roman" w:eastAsia="仿宋" w:cs="Times New Roman"/>
          <w:color w:val="auto"/>
          <w:sz w:val="32"/>
          <w:szCs w:val="32"/>
          <w:highlight w:val="none"/>
          <w:u w:val="none"/>
          <w:lang w:val="en-US" w:eastAsia="zh-CN"/>
        </w:rPr>
        <w:t>岗位</w:t>
      </w:r>
      <w:r>
        <w:rPr>
          <w:rFonts w:hint="eastAsia" w:ascii="Times New Roman" w:hAnsi="Times New Roman" w:eastAsia="仿宋" w:cs="Times New Roman"/>
          <w:color w:val="auto"/>
          <w:sz w:val="32"/>
          <w:szCs w:val="32"/>
          <w:highlight w:val="none"/>
          <w:u w:val="none"/>
          <w:lang w:val="en-US" w:eastAsia="zh-CN"/>
        </w:rPr>
        <w:t>100</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教育系统教师</w:t>
      </w:r>
      <w:r>
        <w:rPr>
          <w:rFonts w:hint="default" w:ascii="Times New Roman" w:hAnsi="Times New Roman" w:eastAsia="仿宋" w:cs="Times New Roman"/>
          <w:color w:val="auto"/>
          <w:sz w:val="32"/>
          <w:szCs w:val="32"/>
          <w:highlight w:val="none"/>
          <w:u w:val="none"/>
          <w:lang w:val="en-US" w:eastAsia="zh-CN"/>
        </w:rPr>
        <w:t>岗位</w:t>
      </w:r>
      <w:r>
        <w:rPr>
          <w:rFonts w:hint="eastAsia" w:ascii="Times New Roman" w:hAnsi="Times New Roman" w:eastAsia="仿宋" w:cs="Times New Roman"/>
          <w:color w:val="auto"/>
          <w:sz w:val="32"/>
          <w:szCs w:val="32"/>
          <w:highlight w:val="none"/>
          <w:u w:val="none"/>
          <w:lang w:val="en-US" w:eastAsia="zh-CN"/>
        </w:rPr>
        <w:t>180</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1-3</w:t>
      </w:r>
      <w:r>
        <w:rPr>
          <w:rFonts w:hint="default" w:ascii="Times New Roman" w:hAnsi="Times New Roman" w:eastAsia="仿宋" w:cs="Times New Roman"/>
          <w:color w:val="auto"/>
          <w:sz w:val="32"/>
          <w:szCs w:val="32"/>
          <w:highlight w:val="none"/>
          <w:u w:val="none"/>
          <w:lang w:val="en-US" w:eastAsia="zh-CN"/>
        </w:rPr>
        <w:t>）。</w:t>
      </w:r>
    </w:p>
    <w:p w14:paraId="507CEBB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11031DE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49B2E6F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具有中华人民共和国国籍。</w:t>
      </w:r>
    </w:p>
    <w:p w14:paraId="2F83D17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rPr>
        <w:t>遵纪守法、诚实守信，具有良好的职业道德、较强的创新创业精神和较高的学术技术水平。</w:t>
      </w:r>
    </w:p>
    <w:p w14:paraId="49A371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rPr>
        <w:t>.铸牢中华民族共同体意识，自觉维护民族团结进步。</w:t>
      </w:r>
    </w:p>
    <w:p w14:paraId="210FAC3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rPr>
        <w:t>.具有正常履行职责的身体条件和心理素质。</w:t>
      </w:r>
    </w:p>
    <w:p w14:paraId="73ABDD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w:t>
      </w:r>
      <w:r>
        <w:rPr>
          <w:rFonts w:hint="default" w:ascii="Times New Roman" w:hAnsi="Times New Roman" w:eastAsia="仿宋" w:cs="Times New Roman"/>
          <w:color w:val="auto"/>
          <w:sz w:val="32"/>
          <w:szCs w:val="32"/>
          <w:highlight w:val="none"/>
          <w:u w:val="none"/>
          <w:lang w:val="en-US" w:eastAsia="zh-CN"/>
        </w:rPr>
        <w:t>相应</w:t>
      </w:r>
      <w:r>
        <w:rPr>
          <w:rFonts w:hint="default" w:ascii="Times New Roman" w:hAnsi="Times New Roman" w:eastAsia="仿宋" w:cs="Times New Roman"/>
          <w:color w:val="auto"/>
          <w:sz w:val="32"/>
          <w:szCs w:val="32"/>
          <w:highlight w:val="none"/>
          <w:u w:val="none"/>
        </w:rPr>
        <w:t>的学历、学位</w:t>
      </w:r>
      <w:r>
        <w:rPr>
          <w:rFonts w:hint="default" w:ascii="Times New Roman" w:hAnsi="Times New Roman" w:eastAsia="仿宋" w:cs="Times New Roman"/>
          <w:color w:val="auto"/>
          <w:sz w:val="32"/>
          <w:szCs w:val="32"/>
          <w:highlight w:val="none"/>
          <w:u w:val="none"/>
          <w:lang w:eastAsia="zh-CN"/>
        </w:rPr>
        <w:t>、专业或技能条件。</w:t>
      </w:r>
    </w:p>
    <w:p w14:paraId="60DFAF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eastAsia="zh-CN"/>
        </w:rPr>
        <w:t>）报考</w:t>
      </w:r>
      <w:r>
        <w:rPr>
          <w:rFonts w:hint="eastAsia" w:ascii="Times New Roman" w:hAnsi="Times New Roman" w:eastAsia="仿宋" w:cs="Times New Roman"/>
          <w:color w:val="auto"/>
          <w:sz w:val="32"/>
          <w:szCs w:val="32"/>
          <w:highlight w:val="none"/>
          <w:u w:val="none"/>
          <w:lang w:eastAsia="zh-CN"/>
        </w:rPr>
        <w:t>市直</w:t>
      </w:r>
      <w:r>
        <w:rPr>
          <w:rFonts w:hint="default" w:ascii="Times New Roman" w:hAnsi="Times New Roman" w:eastAsia="仿宋" w:cs="Times New Roman"/>
          <w:color w:val="auto"/>
          <w:sz w:val="32"/>
          <w:szCs w:val="32"/>
          <w:highlight w:val="none"/>
          <w:u w:val="none"/>
          <w:lang w:eastAsia="zh-CN"/>
        </w:rPr>
        <w:t>综合类岗位的，要求：</w:t>
      </w:r>
    </w:p>
    <w:p w14:paraId="52A495F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博士研究生须学历学位俱全（</w:t>
      </w:r>
      <w:r>
        <w:rPr>
          <w:rFonts w:hint="default" w:ascii="Times New Roman" w:hAnsi="Times New Roman" w:eastAsia="仿宋" w:cs="Times New Roman"/>
          <w:color w:val="auto"/>
          <w:sz w:val="32"/>
          <w:szCs w:val="32"/>
          <w:highlight w:val="none"/>
          <w:lang w:val="en-US" w:eastAsia="zh-CN"/>
        </w:rPr>
        <w:t>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留学归国博士研究生博士阶段毕业院校须为2024年、2025年度世界大学综合排名前500名院校，高等教育起始阶段学历须为全日制本科（不含专升本）。</w:t>
      </w:r>
    </w:p>
    <w:p w14:paraId="3208FFA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学历学位俱全（不含专升本），本科或硕士有一个阶段须符合国家教育部公布的“一流大学”或“一流学科”建设名单；留学归国硕士研究生硕士阶段毕业院校须为2024年、2025年度世界大学综合排名前300名院校，高等教育起始阶段学历须为全日制本科（不含专升本）。</w:t>
      </w:r>
    </w:p>
    <w:p w14:paraId="089029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本科毕业生须学历学位俱全，须符合国家教育部公布的“一流大学”或“一流学科”建设名单（不含专升本）。</w:t>
      </w:r>
    </w:p>
    <w:p w14:paraId="29E221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（2）报考</w:t>
      </w:r>
      <w:r>
        <w:rPr>
          <w:rFonts w:hint="eastAsia" w:ascii="Times New Roman" w:hAnsi="Times New Roman" w:eastAsia="仿宋" w:cs="Times New Roman"/>
          <w:color w:val="auto"/>
          <w:sz w:val="32"/>
          <w:szCs w:val="32"/>
          <w:highlight w:val="none"/>
          <w:u w:val="none"/>
          <w:lang w:val="en-US" w:eastAsia="zh-CN"/>
        </w:rPr>
        <w:t>市直</w:t>
      </w:r>
      <w:r>
        <w:rPr>
          <w:rFonts w:hint="default" w:ascii="Times New Roman" w:hAnsi="Times New Roman" w:eastAsia="仿宋" w:cs="Times New Roman"/>
          <w:color w:val="auto"/>
          <w:sz w:val="32"/>
          <w:szCs w:val="32"/>
          <w:highlight w:val="none"/>
          <w:u w:val="none"/>
          <w:lang w:val="en-US" w:eastAsia="zh-CN"/>
        </w:rPr>
        <w:t>卫健系统</w:t>
      </w:r>
      <w:r>
        <w:rPr>
          <w:rFonts w:hint="eastAsia" w:ascii="Times New Roman" w:hAnsi="Times New Roman" w:eastAsia="仿宋" w:cs="Times New Roman"/>
          <w:color w:val="auto"/>
          <w:sz w:val="32"/>
          <w:szCs w:val="32"/>
          <w:highlight w:val="none"/>
          <w:u w:val="none"/>
          <w:lang w:val="en-US" w:eastAsia="zh-CN"/>
        </w:rPr>
        <w:t>医疗</w:t>
      </w:r>
      <w:r>
        <w:rPr>
          <w:rFonts w:hint="default" w:ascii="Times New Roman" w:hAnsi="Times New Roman" w:eastAsia="仿宋" w:cs="Times New Roman"/>
          <w:color w:val="auto"/>
          <w:sz w:val="32"/>
          <w:szCs w:val="32"/>
          <w:highlight w:val="none"/>
          <w:u w:val="none"/>
          <w:lang w:val="en-US" w:eastAsia="zh-CN"/>
        </w:rPr>
        <w:t>岗位的，要求：</w:t>
      </w:r>
    </w:p>
    <w:p w14:paraId="041DF2B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博士研究生须学历学位俱全（</w:t>
      </w:r>
      <w:r>
        <w:rPr>
          <w:rFonts w:hint="default" w:ascii="Times New Roman" w:hAnsi="Times New Roman" w:eastAsia="仿宋" w:cs="Times New Roman"/>
          <w:color w:val="auto"/>
          <w:sz w:val="32"/>
          <w:szCs w:val="32"/>
          <w:highlight w:val="none"/>
          <w:lang w:val="en-US" w:eastAsia="zh-CN"/>
        </w:rPr>
        <w:t>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留学归国博士研究生博士阶段毕业院校须为2024年、2025年度世界大学综合排名前500名院校，高等教育起始阶段学历须为全日制本科（不含专升本）。</w:t>
      </w:r>
    </w:p>
    <w:p w14:paraId="28CC7A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国内硕士研究生须为学历学位俱全的普通高等院校毕业生（不含专升本），</w:t>
      </w:r>
      <w:r>
        <w:rPr>
          <w:rFonts w:hint="default" w:ascii="Times New Roman" w:hAnsi="Times New Roman" w:eastAsia="仿宋" w:cs="Times New Roman"/>
          <w:color w:val="auto"/>
          <w:sz w:val="32"/>
          <w:szCs w:val="32"/>
          <w:highlight w:val="none"/>
          <w:u w:val="none"/>
          <w:lang w:val="en-US" w:eastAsia="zh-CN"/>
        </w:rPr>
        <w:t>留学归国硕士研究生硕士阶段毕业院校须为2024年、2025年度世界大学综合排名前300名院校，高等教育起始阶段学历须为全日制本科（不含专升本）。</w:t>
      </w:r>
    </w:p>
    <w:p w14:paraId="5F75213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本科毕业生须为学历学位俱全的普通高等院校毕业生（不含专升本），须取得符合岗位要求的住院医师规范化培训合格证。</w:t>
      </w:r>
    </w:p>
    <w:p w14:paraId="178E5B5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（3）报考</w:t>
      </w:r>
      <w:r>
        <w:rPr>
          <w:rFonts w:hint="eastAsia" w:ascii="Times New Roman" w:hAnsi="Times New Roman" w:eastAsia="仿宋" w:cs="Times New Roman"/>
          <w:color w:val="auto"/>
          <w:sz w:val="32"/>
          <w:szCs w:val="32"/>
          <w:highlight w:val="none"/>
          <w:u w:val="none"/>
          <w:lang w:val="en-US" w:eastAsia="zh-CN"/>
        </w:rPr>
        <w:t>市直</w:t>
      </w:r>
      <w:r>
        <w:rPr>
          <w:rFonts w:hint="default" w:ascii="Times New Roman" w:hAnsi="Times New Roman" w:eastAsia="仿宋" w:cs="Times New Roman"/>
          <w:color w:val="auto"/>
          <w:sz w:val="32"/>
          <w:szCs w:val="32"/>
          <w:highlight w:val="none"/>
          <w:u w:val="none"/>
          <w:lang w:val="en-US" w:eastAsia="zh-CN"/>
        </w:rPr>
        <w:t>教育系统</w:t>
      </w:r>
      <w:r>
        <w:rPr>
          <w:rFonts w:hint="eastAsia" w:ascii="Times New Roman" w:hAnsi="Times New Roman" w:eastAsia="仿宋" w:cs="Times New Roman"/>
          <w:color w:val="auto"/>
          <w:sz w:val="32"/>
          <w:szCs w:val="32"/>
          <w:highlight w:val="none"/>
          <w:u w:val="none"/>
          <w:lang w:val="en-US" w:eastAsia="zh-CN"/>
        </w:rPr>
        <w:t>教师</w:t>
      </w:r>
      <w:r>
        <w:rPr>
          <w:rFonts w:hint="default" w:ascii="Times New Roman" w:hAnsi="Times New Roman" w:eastAsia="仿宋" w:cs="Times New Roman"/>
          <w:color w:val="auto"/>
          <w:sz w:val="32"/>
          <w:szCs w:val="32"/>
          <w:highlight w:val="none"/>
          <w:u w:val="none"/>
          <w:lang w:val="en-US" w:eastAsia="zh-CN"/>
        </w:rPr>
        <w:t>岗位的，要求：</w:t>
      </w:r>
    </w:p>
    <w:p w14:paraId="138533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博士研究生须学历学位俱全（</w:t>
      </w:r>
      <w:r>
        <w:rPr>
          <w:rFonts w:hint="default" w:ascii="Times New Roman" w:hAnsi="Times New Roman" w:eastAsia="仿宋" w:cs="Times New Roman"/>
          <w:color w:val="auto"/>
          <w:sz w:val="32"/>
          <w:szCs w:val="32"/>
          <w:highlight w:val="none"/>
          <w:lang w:val="en-US" w:eastAsia="zh-CN"/>
        </w:rPr>
        <w:t>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留学归国博士研究生博士阶段毕业院校须为2024年、2025年度世界大学综合排名前500名院校，高等教育起始阶段学历须为全日制本科（不含专升本）。</w:t>
      </w:r>
    </w:p>
    <w:p w14:paraId="23A0187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国内硕士研究生须为学历学位俱全的普通高等院校硕士研究生</w:t>
      </w:r>
      <w:r>
        <w:rPr>
          <w:rFonts w:hint="eastAsia" w:ascii="Times New Roman" w:hAnsi="Times New Roman" w:eastAsia="仿宋" w:cs="Times New Roman"/>
          <w:color w:val="auto"/>
          <w:sz w:val="32"/>
          <w:szCs w:val="32"/>
          <w:highlight w:val="none"/>
          <w:u w:val="none"/>
          <w:lang w:val="en-US" w:eastAsia="zh-CN"/>
        </w:rPr>
        <w:t>（不含专升本）</w:t>
      </w:r>
      <w:r>
        <w:rPr>
          <w:rFonts w:hint="default" w:ascii="Times New Roman" w:hAnsi="Times New Roman" w:eastAsia="仿宋" w:cs="Times New Roman"/>
          <w:color w:val="auto"/>
          <w:sz w:val="32"/>
          <w:szCs w:val="32"/>
          <w:highlight w:val="none"/>
          <w:u w:val="none"/>
          <w:lang w:val="en-US" w:eastAsia="zh-CN"/>
        </w:rPr>
        <w:t>，并具备下列条件之一：教育部直属6所师范类院校公费硕士师范生；“一流大学”或“一流学科”建设高校名单的硕士研究生；2023年—2025年度软科中国大学排名师范类前40院校的全日制师范类硕士研究生；2023年—2025年度软科中国最好学科排名体育学、音乐（音乐与舞蹈学）、美术与书法（美术学）前5院校的硕士研究生。留学归国硕士研究生硕士阶段毕业院校须为2024年、2025年度世界大学综合排名前300名院校，高等教育起始阶段学历须为全日制本科（不含专升本）。</w:t>
      </w:r>
    </w:p>
    <w:p w14:paraId="4E6597A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普通高等院校毕业生（不含专升本），并具备下列条件之一：教育部直属6所师范类院校公费本科师范生；“一流大学”或“一流学科”建设高校名单的本科毕业生；2023年—2025年度软科中国大学排名师范类前40院校的全日制师范类本科毕业生；2023年—2025年度软科中国最好学科排名体育学、音乐（音乐与舞蹈学）、美术与书法（美术学）前5院校的全日制本科毕业生。</w:t>
      </w:r>
    </w:p>
    <w:p w14:paraId="4C0DC10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上述所称“一流大学”建设名单按教育部2017年公布的“双一流”建设高校名单中42所一流大学建设高校名单执行；</w:t>
      </w:r>
      <w:r>
        <w:rPr>
          <w:rFonts w:hint="eastAsia" w:ascii="Times New Roman" w:hAnsi="Times New Roman" w:eastAsia="仿宋" w:cs="Times New Roman"/>
          <w:color w:val="auto"/>
          <w:sz w:val="32"/>
          <w:szCs w:val="32"/>
          <w:highlight w:val="none"/>
          <w:u w:val="none"/>
          <w:lang w:val="en-US" w:eastAsia="zh-CN"/>
        </w:rPr>
        <w:t>综合类岗位</w:t>
      </w:r>
      <w:r>
        <w:rPr>
          <w:rFonts w:hint="default" w:ascii="Times New Roman" w:hAnsi="Times New Roman" w:eastAsia="仿宋" w:cs="Times New Roman"/>
          <w:color w:val="auto"/>
          <w:sz w:val="32"/>
          <w:szCs w:val="32"/>
          <w:highlight w:val="none"/>
          <w:u w:val="none"/>
          <w:lang w:val="en-US" w:eastAsia="zh-CN"/>
        </w:rPr>
        <w:t>“一流学科”建设名单按教育部2017年公布的“双一流”建设学科名单、2022年公布的第二轮“双一流”建设高校及建设学科名单中的学科名单执行；教育系统岗位所称“一流学科”建设高校名单按教育部2017年公布的“双一流”建设高校名单中95所一流学科建设高校名单、2022年公布的第二轮“双一流”建设高校及建设学科名单中的高校名单执行</w:t>
      </w:r>
      <w:r>
        <w:rPr>
          <w:rFonts w:hint="eastAsia" w:ascii="Times New Roman" w:hAnsi="Times New Roman" w:eastAsia="仿宋" w:cs="Times New Roman"/>
          <w:color w:val="auto"/>
          <w:sz w:val="32"/>
          <w:szCs w:val="32"/>
          <w:highlight w:val="none"/>
          <w:u w:val="none"/>
          <w:lang w:val="en-US" w:eastAsia="zh-CN"/>
        </w:rPr>
        <w:t>。</w:t>
      </w:r>
    </w:p>
    <w:p w14:paraId="25AE013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7C0FCE0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6.博士研究生，年龄在43周岁以下，即1981年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日（不含）以后出生；兼具副高级及以上专业技术职称人才年龄可放宽至48周岁，即1976年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日（不含）以后出生。硕士研究生，年龄在38周岁以下，即1986年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日（不含）以后出生。本科毕业生，年龄在33周岁以下，即1991年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w:t>
      </w:r>
    </w:p>
    <w:p w14:paraId="35940A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lang w:val="en-US" w:eastAsia="zh-CN"/>
        </w:rPr>
        <w:t>报考人员学历学位取得时间截至2026年8月31日（含）；2026年参加住院医师规范化培训结业考试的考生，</w:t>
      </w:r>
      <w:r>
        <w:rPr>
          <w:rFonts w:hint="default" w:ascii="Times New Roman" w:hAnsi="Times New Roman" w:eastAsia="仿宋" w:cs="Times New Roman"/>
          <w:color w:val="auto"/>
          <w:sz w:val="32"/>
          <w:szCs w:val="32"/>
          <w:highlight w:val="none"/>
          <w:u w:val="none"/>
          <w:lang w:val="en-US" w:eastAsia="zh-CN"/>
        </w:rPr>
        <w:t>住院医师规范化培训考试合格时间截至20</w:t>
      </w:r>
      <w:bookmarkStart w:id="0" w:name="_GoBack"/>
      <w:bookmarkEnd w:id="0"/>
      <w:r>
        <w:rPr>
          <w:rFonts w:hint="default" w:ascii="Times New Roman" w:hAnsi="Times New Roman" w:eastAsia="仿宋" w:cs="Times New Roman"/>
          <w:color w:val="auto"/>
          <w:sz w:val="32"/>
          <w:szCs w:val="32"/>
          <w:highlight w:val="none"/>
          <w:u w:val="none"/>
          <w:lang w:val="en-US" w:eastAsia="zh-CN"/>
        </w:rPr>
        <w:t>26年8月31日（含）</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2026年应届毕业生教师资格证书、普通话水平证书取得时间截至2026年8月31日（含）；</w:t>
      </w:r>
      <w:r>
        <w:rPr>
          <w:rFonts w:hint="default" w:ascii="Times New Roman" w:hAnsi="Times New Roman" w:eastAsia="仿宋" w:cs="Times New Roman"/>
          <w:color w:val="auto"/>
          <w:sz w:val="32"/>
          <w:szCs w:val="32"/>
          <w:highlight w:val="none"/>
          <w:lang w:val="en-US" w:eastAsia="zh-CN"/>
        </w:rPr>
        <w:t>其他资格条件取得时间截至2025年</w:t>
      </w:r>
      <w:r>
        <w:rPr>
          <w:rFonts w:hint="eastAsia"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lang w:val="en-US" w:eastAsia="zh-CN"/>
        </w:rPr>
        <w:t>月</w:t>
      </w:r>
      <w:r>
        <w:rPr>
          <w:rFonts w:hint="eastAsia" w:ascii="Times New Roman" w:hAnsi="Times New Roman" w:eastAsia="仿宋" w:cs="Times New Roman"/>
          <w:color w:val="auto"/>
          <w:sz w:val="32"/>
          <w:szCs w:val="32"/>
          <w:highlight w:val="none"/>
          <w:lang w:val="en-US" w:eastAsia="zh-CN"/>
        </w:rPr>
        <w:t>18</w:t>
      </w:r>
      <w:r>
        <w:rPr>
          <w:rFonts w:hint="default" w:ascii="Times New Roman" w:hAnsi="Times New Roman" w:eastAsia="仿宋" w:cs="Times New Roman"/>
          <w:color w:val="auto"/>
          <w:sz w:val="32"/>
          <w:szCs w:val="32"/>
          <w:highlight w:val="none"/>
          <w:lang w:val="en-US" w:eastAsia="zh-CN"/>
        </w:rPr>
        <w:t>日（含）之前。</w:t>
      </w:r>
    </w:p>
    <w:p w14:paraId="7E9FE1A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8.具备岗位所要求的其他资格条件。</w:t>
      </w:r>
    </w:p>
    <w:p w14:paraId="569C399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val="en-US" w:eastAsia="zh-CN"/>
        </w:rPr>
        <w:t>报考</w:t>
      </w:r>
    </w:p>
    <w:p w14:paraId="55A035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1.现役军人、在读的普通高等院校全日制专科生、本科生、研究生（不含2026年8月31日前毕业的应届毕业生）。</w:t>
      </w:r>
    </w:p>
    <w:p w14:paraId="076703A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2.试用期内和未满最低服务年限的机关、事业单位工作人员；服务期内的“特岗教师”不得应聘教育系统</w:t>
      </w:r>
      <w:r>
        <w:rPr>
          <w:rFonts w:hint="eastAsia" w:ascii="Times New Roman" w:hAnsi="Times New Roman" w:eastAsia="仿宋" w:cs="Times New Roman"/>
          <w:color w:val="auto"/>
          <w:sz w:val="32"/>
          <w:szCs w:val="32"/>
          <w:highlight w:val="none"/>
          <w:u w:val="none"/>
          <w:lang w:eastAsia="zh-CN"/>
        </w:rPr>
        <w:t>教师</w:t>
      </w:r>
      <w:r>
        <w:rPr>
          <w:rFonts w:hint="default" w:ascii="Times New Roman" w:hAnsi="Times New Roman" w:eastAsia="仿宋" w:cs="Times New Roman"/>
          <w:color w:val="auto"/>
          <w:sz w:val="32"/>
          <w:szCs w:val="32"/>
          <w:highlight w:val="none"/>
          <w:u w:val="none"/>
        </w:rPr>
        <w:t>岗位。</w:t>
      </w:r>
    </w:p>
    <w:p w14:paraId="500082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3.曾因犯罪受过刑事处罚的人员；被开除中国共产党党籍的人员；被开除公职的人员；被依法列为失信联合惩戒对象的人员。</w:t>
      </w:r>
    </w:p>
    <w:p w14:paraId="5F524D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4.在公务员考录或事业单位公开招聘（人才引进）中被认定有舞弊等严重违反录用、聘用纪律行为并在禁考期限内的人员。</w:t>
      </w:r>
    </w:p>
    <w:p w14:paraId="5A1EE8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5.应聘到岗位后构成回避关系的人员。</w:t>
      </w:r>
    </w:p>
    <w:p w14:paraId="3CF808A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6.通辽市各级机关事业单位在编人员及辞职不足6个月的人员。</w:t>
      </w:r>
    </w:p>
    <w:p w14:paraId="49B0DF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7.法律法规规定不得聘用为事业单位工作人员的其他情形的人员。</w:t>
      </w:r>
    </w:p>
    <w:p w14:paraId="2405E26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59F93F1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（一）报名与资格审核</w:t>
      </w:r>
    </w:p>
    <w:p w14:paraId="491108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1.报名方式</w:t>
      </w:r>
    </w:p>
    <w:p w14:paraId="211041F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本次人才引进采取网络报名方式进行。报考人员登录通辽市人力资源和社会保障局网站“人事考试”栏目进行报名</w:t>
      </w:r>
    </w:p>
    <w:p w14:paraId="4D47B1B4">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（https://rsj.tongliao.gov.cn），报名中涉及学历、学位、专业以及其他条件，由引才单位</w:t>
      </w:r>
      <w:r>
        <w:rPr>
          <w:rFonts w:hint="eastAsia" w:ascii="Times New Roman" w:hAnsi="Times New Roman" w:eastAsia="仿宋" w:cs="Times New Roman"/>
          <w:color w:val="auto"/>
          <w:sz w:val="32"/>
          <w:szCs w:val="32"/>
          <w:highlight w:val="none"/>
          <w:u w:val="none"/>
          <w:lang w:val="en-US" w:eastAsia="zh-CN"/>
        </w:rPr>
        <w:t>及其主管部门</w:t>
      </w:r>
      <w:r>
        <w:rPr>
          <w:rFonts w:hint="default" w:ascii="Times New Roman" w:hAnsi="Times New Roman" w:eastAsia="仿宋" w:cs="Times New Roman"/>
          <w:color w:val="auto"/>
          <w:sz w:val="32"/>
          <w:szCs w:val="32"/>
          <w:highlight w:val="none"/>
          <w:u w:val="none"/>
          <w:lang w:val="en-US" w:eastAsia="zh-CN"/>
        </w:rPr>
        <w:t>负责解释</w:t>
      </w:r>
      <w:r>
        <w:rPr>
          <w:rFonts w:hint="eastAsia" w:ascii="Times New Roman" w:hAnsi="Times New Roman" w:eastAsia="仿宋" w:cs="Times New Roman"/>
          <w:color w:val="auto"/>
          <w:sz w:val="32"/>
          <w:szCs w:val="32"/>
          <w:highlight w:val="none"/>
          <w:u w:val="none"/>
          <w:lang w:val="en-US" w:eastAsia="zh-CN"/>
        </w:rPr>
        <w:t>并审核，对审核结果负责</w:t>
      </w:r>
      <w:r>
        <w:rPr>
          <w:rFonts w:hint="default" w:ascii="Times New Roman" w:hAnsi="Times New Roman" w:eastAsia="仿宋" w:cs="Times New Roman"/>
          <w:color w:val="auto"/>
          <w:sz w:val="32"/>
          <w:szCs w:val="32"/>
          <w:highlight w:val="none"/>
          <w:u w:val="none"/>
          <w:lang w:val="en-US" w:eastAsia="zh-CN"/>
        </w:rPr>
        <w:t>。咨询电话详见人才需求目录（附件1、附件2、附件3），报名时需使用电脑报名，不能使用移动端设备报名。本次报名不收取费用。</w:t>
      </w:r>
    </w:p>
    <w:p w14:paraId="1950B29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日17:00</w:t>
      </w:r>
    </w:p>
    <w:p w14:paraId="45492F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资格审核时间：2025年12月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日17:30</w:t>
      </w:r>
    </w:p>
    <w:p w14:paraId="113485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3.本次报名不设开考比例。对于符合条件的博士研究生报名直接进入体检、考察环节。对无人报考的岗位和报名人数小于引进计划数的岗位予以取消、核减，报名结束后在报名网站公布。</w:t>
      </w:r>
    </w:p>
    <w:p w14:paraId="1CBF25F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资格审核工作在网上进行，由引才单位主管部门负责审核。报名符合条件的，审核通过；不符合条件的，不通过并提示理由。</w:t>
      </w:r>
    </w:p>
    <w:p w14:paraId="1CBA871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5.报考人员报名时须上传以下材料：</w:t>
      </w:r>
    </w:p>
    <w:p w14:paraId="1CB092F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（1）有效居民身份证（正反面）。</w:t>
      </w:r>
    </w:p>
    <w:p w14:paraId="60FE44A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3BEA834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lang w:val="en-US" w:eastAsia="zh-CN"/>
        </w:rPr>
        <w:t>）岗位要求的其他</w:t>
      </w:r>
      <w:r>
        <w:rPr>
          <w:rFonts w:hint="eastAsia" w:ascii="Times New Roman" w:hAnsi="Times New Roman" w:eastAsia="仿宋" w:cs="Times New Roman"/>
          <w:color w:val="auto"/>
          <w:sz w:val="32"/>
          <w:szCs w:val="32"/>
          <w:highlight w:val="none"/>
          <w:u w:val="none"/>
          <w:lang w:val="en-US" w:eastAsia="zh-CN"/>
        </w:rPr>
        <w:t>有关证书、</w:t>
      </w:r>
      <w:r>
        <w:rPr>
          <w:rFonts w:hint="default" w:ascii="Times New Roman" w:hAnsi="Times New Roman" w:eastAsia="仿宋" w:cs="Times New Roman"/>
          <w:color w:val="auto"/>
          <w:sz w:val="32"/>
          <w:szCs w:val="32"/>
          <w:highlight w:val="none"/>
          <w:u w:val="none"/>
          <w:lang w:val="en-US" w:eastAsia="zh-CN"/>
        </w:rPr>
        <w:t>证明等材料。</w:t>
      </w:r>
    </w:p>
    <w:p w14:paraId="41CF47A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6.通过资格审核的报考人员须下载打印自动生成的《通辽市直事业单位2026年第一批次人才引进报名登记表》（以下简称《报名登记表》），人才测评等环节需要提供《报名登记表》，请务必提前打印。</w:t>
      </w:r>
    </w:p>
    <w:p w14:paraId="456B59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56609C2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（二）人才测评</w:t>
      </w:r>
    </w:p>
    <w:p w14:paraId="2E71A7D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人才测评工作由各引才单位主管部门组织实施。报考人员根据所报岗位下载相应《人才评价表》（附件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4、附件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5、附件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6）自公告发布之日起开展自评，并持本人有效居民身份证、《报名登记表》，现场提交《人才评价表》（报考人员需在表格空白处签字）及毕业证、学位证、教育部学历证书电子注册备案表、专业技术资格证书、职业资格证书、论文检索报告、专利证书、获奖证书等相关佐证材料原件、复印件供引才单位主管部门复核，尚未颁发毕业证书、学位证书的2026年应届毕业生，须提供教育部学籍在线验证报告。</w:t>
      </w:r>
    </w:p>
    <w:p w14:paraId="695DAAF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具体时间、地点等另行公告，请考生根据报考岗位随时关注通辽市人力资源和社会保障局、通辽市卫生健康委员会或通辽市教育局网站。未在规定时间内提交或未按要求提交《人才评价表》及相关佐证材料的，视为放弃测评资格。</w:t>
      </w:r>
    </w:p>
    <w:p w14:paraId="2FFE63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各人才引进单位主管部门须成立人才测评工作组，对照评价标准和要求，对报名人员自评结果进行复核，确认报名人员最终人才测评得分后报送至</w:t>
      </w:r>
      <w:r>
        <w:rPr>
          <w:rFonts w:hint="default" w:ascii="Times New Roman" w:hAnsi="Times New Roman" w:eastAsia="仿宋" w:cs="Times New Roman"/>
          <w:color w:val="auto"/>
          <w:sz w:val="32"/>
          <w:szCs w:val="32"/>
          <w:highlight w:val="none"/>
          <w:u w:val="none"/>
          <w:lang w:eastAsia="zh-CN"/>
        </w:rPr>
        <w:t>市委人才工作领导小组办公室</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eastAsia="zh-CN"/>
        </w:rPr>
        <w:t>市委人才工作领导小组办公室</w:t>
      </w:r>
      <w:r>
        <w:rPr>
          <w:rFonts w:hint="default" w:ascii="Times New Roman" w:hAnsi="Times New Roman" w:eastAsia="仿宋" w:cs="Times New Roman"/>
          <w:color w:val="auto"/>
          <w:sz w:val="32"/>
          <w:szCs w:val="32"/>
          <w:highlight w:val="none"/>
          <w:u w:val="none"/>
          <w:lang w:val="en-US" w:eastAsia="zh-CN"/>
        </w:rPr>
        <w:t>汇总各单位人才测评得分，并通过通辽市人力资源和社会保障局、通辽市卫生健康委员会或通辽市教育局网站公布。报名人员对于单位复核认定得分有异议的，可在人才测评成绩公布1日内向报名单位提出再审核申请，须注明申请理由并提供相应佐证材料。各单位人才测评工作组须在1日内反馈复核结果。</w:t>
      </w:r>
    </w:p>
    <w:p w14:paraId="3F75EA1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（三）面试</w:t>
      </w:r>
    </w:p>
    <w:p w14:paraId="75793C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1.报名成功且参加人才测评的</w:t>
      </w:r>
      <w:r>
        <w:rPr>
          <w:rFonts w:hint="eastAsia" w:ascii="Times New Roman" w:hAnsi="Times New Roman" w:eastAsia="仿宋" w:cs="Times New Roman"/>
          <w:color w:val="auto"/>
          <w:sz w:val="32"/>
          <w:szCs w:val="32"/>
          <w:highlight w:val="none"/>
          <w:u w:val="none"/>
          <w:lang w:val="en-US" w:eastAsia="zh-CN"/>
        </w:rPr>
        <w:t>考生全部进入面试环节，须用国家通用语言答题。</w:t>
      </w:r>
      <w:r>
        <w:rPr>
          <w:rFonts w:hint="default" w:ascii="Times New Roman" w:hAnsi="Times New Roman" w:eastAsia="仿宋" w:cs="Times New Roman"/>
          <w:color w:val="auto"/>
          <w:sz w:val="32"/>
          <w:szCs w:val="32"/>
          <w:highlight w:val="none"/>
          <w:u w:val="none"/>
          <w:lang w:val="en-US" w:eastAsia="zh-CN"/>
        </w:rPr>
        <w:t>面试成绩满分为100分。</w:t>
      </w:r>
    </w:p>
    <w:p w14:paraId="1CD9AC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2.通辽</w:t>
      </w:r>
      <w:r>
        <w:rPr>
          <w:rFonts w:hint="eastAsia" w:ascii="Times New Roman" w:hAnsi="Times New Roman" w:eastAsia="仿宋" w:cs="Times New Roman"/>
          <w:color w:val="auto"/>
          <w:sz w:val="32"/>
          <w:szCs w:val="32"/>
          <w:highlight w:val="none"/>
          <w:u w:val="none"/>
          <w:lang w:val="en-US" w:eastAsia="zh-CN"/>
        </w:rPr>
        <w:t>市直卫健系统、教育系统、市委党校引进人才</w:t>
      </w:r>
      <w:r>
        <w:rPr>
          <w:rFonts w:hint="default" w:ascii="Times New Roman" w:hAnsi="Times New Roman" w:eastAsia="仿宋" w:cs="Times New Roman"/>
          <w:color w:val="auto"/>
          <w:sz w:val="32"/>
          <w:szCs w:val="32"/>
          <w:highlight w:val="none"/>
          <w:u w:val="none"/>
          <w:lang w:val="en-US" w:eastAsia="zh-CN"/>
        </w:rPr>
        <w:t>面试工作由</w:t>
      </w:r>
      <w:r>
        <w:rPr>
          <w:rFonts w:hint="eastAsia" w:ascii="Times New Roman" w:hAnsi="Times New Roman" w:eastAsia="仿宋" w:cs="Times New Roman"/>
          <w:color w:val="auto"/>
          <w:sz w:val="32"/>
          <w:szCs w:val="32"/>
          <w:highlight w:val="none"/>
          <w:u w:val="none"/>
          <w:lang w:val="en-US" w:eastAsia="zh-CN"/>
        </w:rPr>
        <w:t>主管部门（单位）</w:t>
      </w:r>
      <w:r>
        <w:rPr>
          <w:rFonts w:hint="default" w:ascii="Times New Roman" w:hAnsi="Times New Roman" w:eastAsia="仿宋" w:cs="Times New Roman"/>
          <w:color w:val="auto"/>
          <w:sz w:val="32"/>
          <w:szCs w:val="32"/>
          <w:highlight w:val="none"/>
          <w:u w:val="none"/>
          <w:lang w:val="en-US" w:eastAsia="zh-CN"/>
        </w:rPr>
        <w:t>自主组织实施，面试具体时间、地点</w:t>
      </w:r>
      <w:r>
        <w:rPr>
          <w:rFonts w:hint="eastAsia" w:ascii="Times New Roman" w:hAnsi="Times New Roman" w:eastAsia="仿宋" w:cs="Times New Roman"/>
          <w:color w:val="auto"/>
          <w:sz w:val="32"/>
          <w:szCs w:val="32"/>
          <w:highlight w:val="none"/>
          <w:u w:val="none"/>
          <w:lang w:val="en-US" w:eastAsia="zh-CN"/>
        </w:rPr>
        <w:t>、形式、最低合格分数线</w:t>
      </w:r>
      <w:r>
        <w:rPr>
          <w:rFonts w:hint="default" w:ascii="Times New Roman" w:hAnsi="Times New Roman" w:eastAsia="仿宋" w:cs="Times New Roman"/>
          <w:color w:val="auto"/>
          <w:sz w:val="32"/>
          <w:szCs w:val="32"/>
          <w:highlight w:val="none"/>
          <w:u w:val="none"/>
          <w:lang w:val="en-US" w:eastAsia="zh-CN"/>
        </w:rPr>
        <w:t>等有关事宜详见主管部门</w:t>
      </w:r>
      <w:r>
        <w:rPr>
          <w:rFonts w:hint="eastAsia" w:ascii="Times New Roman" w:hAnsi="Times New Roman" w:eastAsia="仿宋" w:cs="Times New Roman"/>
          <w:color w:val="auto"/>
          <w:sz w:val="32"/>
          <w:szCs w:val="32"/>
          <w:highlight w:val="none"/>
          <w:u w:val="none"/>
          <w:lang w:val="en-US" w:eastAsia="zh-CN"/>
        </w:rPr>
        <w:t>（单位）</w:t>
      </w:r>
      <w:r>
        <w:rPr>
          <w:rFonts w:hint="default" w:ascii="Times New Roman" w:hAnsi="Times New Roman" w:eastAsia="仿宋" w:cs="Times New Roman"/>
          <w:color w:val="auto"/>
          <w:sz w:val="32"/>
          <w:szCs w:val="32"/>
          <w:highlight w:val="none"/>
          <w:u w:val="none"/>
          <w:lang w:val="en-US" w:eastAsia="zh-CN"/>
        </w:rPr>
        <w:t>网站。</w:t>
      </w:r>
    </w:p>
    <w:p w14:paraId="26A745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市直其他事业单位引进人才面试工作由市委人才工作领导小组办公室统一组织实施，采取结构化面试的方式进行，考生的面试成绩须达到70分及以上，方可进入下一环节。报考人员持身份证现场领取《面试通知书》，具体时间、地点等另行公告，请考生关注报名网站。</w:t>
      </w:r>
    </w:p>
    <w:p w14:paraId="3E7C14D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（四）考试总成绩计算</w:t>
      </w:r>
    </w:p>
    <w:p w14:paraId="710936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2F487AD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博士研究生无需参加人才测评和面试，直接进入体检环节，经用人单位主管部门党委（党组）集体研究决定后，可申请使用本单位额外空余编制或调剂使用编制予以保障，做到“一岗双用”“增补使用”。</w:t>
      </w:r>
    </w:p>
    <w:p w14:paraId="5753861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（五）体检</w:t>
      </w:r>
    </w:p>
    <w:p w14:paraId="0616CB8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体检工作在指定医疗机构进行，体检标准参照公务员录用体检有关规定进行。未在规定时间内参加体检或体检不合格、在体检过程中弄虚作假或者隐瞒真实情况的，取消聘用资格。</w:t>
      </w:r>
    </w:p>
    <w:p w14:paraId="372E6A5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（六）考察</w:t>
      </w:r>
    </w:p>
    <w:p w14:paraId="6E79B8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由引进单位主管部门组织实施。引进单位主管部门组成考察组，对拟聘用人员进行认真全面考察。考察内容主要包括被考察人员的思想政治表现、道德品行、能力素质、心理素质、学习和工作表现、遵纪守法、廉洁自律以及是否需要回避等方面情况。</w:t>
      </w:r>
    </w:p>
    <w:p w14:paraId="444349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03EC61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对于有符合条件博士研究生报考，用人单位主管部门组织3至7名相关专业专家组成评估组，出具书面评估意见，根据评估结果，主管部门党委（党组）集体研究确定拟引进人选。</w:t>
      </w:r>
    </w:p>
    <w:p w14:paraId="253520C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（七）公示</w:t>
      </w:r>
    </w:p>
    <w:p w14:paraId="79A9D1B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通辽党建网、通辽市人力资源和社会保障局网站、引进人才单位主管部门官方网站等进行公示，公示期不少于5个工作日。公示阶段发现问题且查有实据影响聘用的，取消聘用资格；对发现的问题一时难以查实的，待问题查实后再决定是否聘用。</w:t>
      </w:r>
    </w:p>
    <w:p w14:paraId="2641B02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（八）办理聘用手续</w:t>
      </w:r>
    </w:p>
    <w:p w14:paraId="49AB323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1.备案。公示期满无异议的，由引进单位按照有关规定，经主管部门报市委人才工作领导小组办公室审批后办理聘用备案</w:t>
      </w:r>
      <w:r>
        <w:rPr>
          <w:rFonts w:hint="eastAsia" w:ascii="Times New Roman" w:hAnsi="Times New Roman" w:eastAsia="仿宋" w:cs="Times New Roman"/>
          <w:color w:val="auto"/>
          <w:sz w:val="32"/>
          <w:szCs w:val="32"/>
          <w:highlight w:val="none"/>
          <w:u w:val="none"/>
          <w:lang w:val="en-US" w:eastAsia="zh-CN"/>
        </w:rPr>
        <w:t>及</w:t>
      </w:r>
      <w:r>
        <w:rPr>
          <w:rFonts w:hint="default" w:ascii="Times New Roman" w:hAnsi="Times New Roman" w:eastAsia="仿宋" w:cs="Times New Roman"/>
          <w:color w:val="auto"/>
          <w:sz w:val="32"/>
          <w:szCs w:val="32"/>
          <w:highlight w:val="none"/>
          <w:u w:val="none"/>
          <w:lang w:val="en-US" w:eastAsia="zh-CN"/>
        </w:rPr>
        <w:t>入编</w:t>
      </w:r>
      <w:r>
        <w:rPr>
          <w:rFonts w:hint="eastAsia" w:ascii="Times New Roman" w:hAnsi="Times New Roman" w:eastAsia="仿宋" w:cs="Times New Roman"/>
          <w:color w:val="auto"/>
          <w:sz w:val="32"/>
          <w:szCs w:val="32"/>
          <w:highlight w:val="none"/>
          <w:u w:val="none"/>
          <w:lang w:val="en-US" w:eastAsia="zh-CN"/>
        </w:rPr>
        <w:t>等</w:t>
      </w:r>
      <w:r>
        <w:rPr>
          <w:rFonts w:hint="default" w:ascii="Times New Roman" w:hAnsi="Times New Roman" w:eastAsia="仿宋" w:cs="Times New Roman"/>
          <w:color w:val="auto"/>
          <w:sz w:val="32"/>
          <w:szCs w:val="32"/>
          <w:highlight w:val="none"/>
          <w:u w:val="none"/>
          <w:lang w:val="en-US" w:eastAsia="zh-CN"/>
        </w:rPr>
        <w:t>手续。</w:t>
      </w:r>
    </w:p>
    <w:p w14:paraId="30F9D5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6074D5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3.服务期。引进人才单位应在聘用合同中约定3-5年服务期限（公费师范生服务期限按照《教育部直属师范大学师范生公费教育实施办法》执行，最低服务期限6年），并明确违约责任和相关要求。</w:t>
      </w:r>
    </w:p>
    <w:p w14:paraId="414628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13D9C5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5DC7F3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2AC8C62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06E149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6295B0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未在2026年8月31日（含）前取得毕业证、学位证</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岗位所需的</w:t>
      </w:r>
      <w:r>
        <w:rPr>
          <w:rFonts w:hint="eastAsia" w:ascii="Times New Roman" w:hAnsi="Times New Roman" w:eastAsia="仿宋" w:cs="Times New Roman"/>
          <w:color w:val="auto"/>
          <w:sz w:val="32"/>
          <w:szCs w:val="32"/>
          <w:highlight w:val="none"/>
          <w:u w:val="none"/>
          <w:lang w:eastAsia="zh-CN"/>
        </w:rPr>
        <w:t>规范化培训合格证明、教师资格证</w:t>
      </w:r>
      <w:r>
        <w:rPr>
          <w:rFonts w:hint="eastAsia" w:ascii="Times New Roman" w:hAnsi="Times New Roman" w:eastAsia="仿宋" w:cs="Times New Roman"/>
          <w:color w:val="auto"/>
          <w:sz w:val="32"/>
          <w:szCs w:val="32"/>
          <w:highlight w:val="none"/>
          <w:u w:val="none"/>
          <w:lang w:val="en-US" w:eastAsia="zh-CN"/>
        </w:rPr>
        <w:t>及普通话水平证书</w:t>
      </w:r>
      <w:r>
        <w:rPr>
          <w:rFonts w:hint="default" w:ascii="Times New Roman" w:hAnsi="Times New Roman" w:eastAsia="仿宋" w:cs="Times New Roman"/>
          <w:color w:val="auto"/>
          <w:sz w:val="32"/>
          <w:szCs w:val="32"/>
          <w:highlight w:val="none"/>
          <w:u w:val="none"/>
        </w:rPr>
        <w:t>的，取消聘用资格。</w:t>
      </w:r>
    </w:p>
    <w:p w14:paraId="0CAEF7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取消聘用资格。</w:t>
      </w:r>
    </w:p>
    <w:p w14:paraId="6762E77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7C383A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5A24238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6286B61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05E8199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w:t>
      </w:r>
      <w:r>
        <w:rPr>
          <w:rFonts w:hint="eastAsia" w:ascii="Times New Roman" w:hAnsi="Times New Roman" w:eastAsia="黑体" w:cs="Times New Roman"/>
          <w:color w:val="auto"/>
          <w:sz w:val="32"/>
          <w:szCs w:val="32"/>
          <w:highlight w:val="none"/>
          <w:u w:val="none"/>
          <w:lang w:val="en-US" w:eastAsia="zh-CN"/>
        </w:rPr>
        <w:t>引进</w:t>
      </w:r>
      <w:r>
        <w:rPr>
          <w:rFonts w:hint="default" w:ascii="Times New Roman" w:hAnsi="Times New Roman" w:eastAsia="黑体" w:cs="Times New Roman"/>
          <w:color w:val="auto"/>
          <w:sz w:val="32"/>
          <w:szCs w:val="32"/>
          <w:highlight w:val="none"/>
          <w:u w:val="none"/>
          <w:lang w:val="en-US" w:eastAsia="zh-CN"/>
        </w:rPr>
        <w:t>待遇</w:t>
      </w:r>
    </w:p>
    <w:p w14:paraId="5E09C39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（一）安置费</w:t>
      </w:r>
    </w:p>
    <w:p w14:paraId="449B8E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市委人才工作领导小组办公室按照《关于通辽市落实“英才兴蒙”工程的实施意见》《通辽市高层次人才和急需紧缺人才分类及认定参考标准》对引进人才进行类别确认，并由市委人才工作领导小组有关成员单位兑现一次性安置费及相应待遇。</w:t>
      </w:r>
    </w:p>
    <w:p w14:paraId="1F9266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1.博士研究生安置费。市直事业单位</w:t>
      </w:r>
      <w:r>
        <w:rPr>
          <w:rFonts w:hint="eastAsia" w:ascii="Times New Roman" w:hAnsi="Times New Roman" w:eastAsia="仿宋" w:cs="Times New Roman"/>
          <w:color w:val="auto"/>
          <w:sz w:val="32"/>
          <w:szCs w:val="32"/>
          <w:highlight w:val="none"/>
          <w:u w:val="none"/>
          <w:lang w:val="en-US" w:eastAsia="zh-CN"/>
        </w:rPr>
        <w:t>（除通辽市农牧业科学院）</w:t>
      </w:r>
      <w:r>
        <w:rPr>
          <w:rFonts w:hint="default" w:ascii="Times New Roman" w:hAnsi="Times New Roman" w:eastAsia="仿宋" w:cs="Times New Roman"/>
          <w:color w:val="auto"/>
          <w:sz w:val="32"/>
          <w:szCs w:val="32"/>
          <w:highlight w:val="none"/>
          <w:u w:val="none"/>
          <w:lang w:val="en-US" w:eastAsia="zh-CN"/>
        </w:rPr>
        <w:t>引进符合条件的博士研究生，且与用人单位约定3-5年服务期的，给予一次性安置费（税后）30万元。</w:t>
      </w:r>
      <w:r>
        <w:rPr>
          <w:rFonts w:hint="eastAsia" w:ascii="Times New Roman" w:hAnsi="Times New Roman" w:eastAsia="仿宋" w:cs="Times New Roman"/>
          <w:color w:val="auto"/>
          <w:sz w:val="32"/>
          <w:szCs w:val="32"/>
          <w:highlight w:val="none"/>
          <w:u w:val="none"/>
          <w:lang w:val="en-US" w:eastAsia="zh-CN"/>
        </w:rPr>
        <w:t>市直卫健系统引进的博士及以上高层次人才，符合条件的，可另外享受引进单位提供的补贴待遇，有关事宜详询用人单位。</w:t>
      </w:r>
    </w:p>
    <w:p w14:paraId="5F09D5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2.“一流大学”或“一流学科”全日制硕士研究生安置费。市直事业单位引进本科或硕士阶段为“一流大学”或“一流学科”</w:t>
      </w:r>
      <w:r>
        <w:rPr>
          <w:rFonts w:hint="eastAsia" w:ascii="Times New Roman" w:hAnsi="Times New Roman" w:eastAsia="仿宋" w:cs="Times New Roman"/>
          <w:color w:val="auto"/>
          <w:sz w:val="32"/>
          <w:szCs w:val="32"/>
          <w:highlight w:val="none"/>
          <w:u w:val="none"/>
          <w:lang w:val="en-US" w:eastAsia="zh-CN"/>
        </w:rPr>
        <w:t>建设名单</w:t>
      </w:r>
      <w:r>
        <w:rPr>
          <w:rFonts w:hint="default" w:ascii="Times New Roman" w:hAnsi="Times New Roman" w:eastAsia="仿宋" w:cs="Times New Roman"/>
          <w:color w:val="auto"/>
          <w:sz w:val="32"/>
          <w:szCs w:val="32"/>
          <w:highlight w:val="none"/>
          <w:u w:val="none"/>
          <w:lang w:val="en-US" w:eastAsia="zh-CN"/>
        </w:rPr>
        <w:t>的全日制硕士研究生，且与用人单位约定3-5年服务期的，给予一次性安置费（税后）15万元。</w:t>
      </w:r>
    </w:p>
    <w:p w14:paraId="3CD7CEF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3.留学归国全日制硕士研究生安置费。市直事业单位引进2024、2025年度世界大学综合排名前300院校的</w:t>
      </w:r>
      <w:r>
        <w:rPr>
          <w:rFonts w:hint="eastAsia" w:ascii="Times New Roman" w:hAnsi="Times New Roman" w:eastAsia="仿宋" w:cs="Times New Roman"/>
          <w:color w:val="auto"/>
          <w:sz w:val="32"/>
          <w:szCs w:val="32"/>
          <w:highlight w:val="none"/>
          <w:u w:val="none"/>
          <w:lang w:val="en-US" w:eastAsia="zh-CN"/>
        </w:rPr>
        <w:t>留学归国</w:t>
      </w:r>
      <w:r>
        <w:rPr>
          <w:rFonts w:hint="default" w:ascii="Times New Roman" w:hAnsi="Times New Roman" w:eastAsia="仿宋" w:cs="Times New Roman"/>
          <w:color w:val="auto"/>
          <w:sz w:val="32"/>
          <w:szCs w:val="32"/>
          <w:highlight w:val="none"/>
          <w:u w:val="none"/>
          <w:lang w:val="en-US" w:eastAsia="zh-CN"/>
        </w:rPr>
        <w:t>全日制硕士研究生，且与用人单位约定3-5年服务期的，给予一次性安置费（税后）15万元。</w:t>
      </w:r>
    </w:p>
    <w:p w14:paraId="43A72BC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（二）人才公寓</w:t>
      </w:r>
    </w:p>
    <w:p w14:paraId="2CD0A1F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本次引进人才在我市无自有住房的，可按程序申请租住人才公寓过渡性住房。</w:t>
      </w:r>
    </w:p>
    <w:p w14:paraId="3DCB561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3FEC06C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（一）本次人才引进在体检、考察、公示环节出现空缺岗位时，均按总成绩从高分到低分的顺序依次递补。每个环节最多递补三次。公示结束无异议之后，办理手续和试用期等阶段不予递补。</w:t>
      </w:r>
    </w:p>
    <w:p w14:paraId="720384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（二）本次人才引进考试不指定考试辅导用书，不举办、不委托任何机构举办考试辅导班。</w:t>
      </w:r>
    </w:p>
    <w:p w14:paraId="342A44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（三）在此，提醒报考者本着对个人负责的态度，认真选择岗位和填报信息，切勿马虎大意、弄虚作假、隐瞒情况，否则造成的后果由报考者本人承担。</w:t>
      </w:r>
    </w:p>
    <w:p w14:paraId="066F61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（四）本次人才引进中未尽事宜以及引进过程中出现的其他问题，由市委人才工作领导小组办公室研究处理，有关信息在相关官方网站上发布。</w:t>
      </w:r>
    </w:p>
    <w:p w14:paraId="08D15F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（五）本公告由市委人才工作领导小组办公室负责解释。</w:t>
      </w:r>
    </w:p>
    <w:p w14:paraId="08334FF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用人单位咨询电话：详见附件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1、附件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2、附件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3</w:t>
      </w:r>
    </w:p>
    <w:p w14:paraId="467B622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政策咨询电话</w:t>
      </w:r>
    </w:p>
    <w:p w14:paraId="126C34D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市委组织部：0475-5776397</w:t>
      </w:r>
    </w:p>
    <w:p w14:paraId="3FD38F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市人社局：0475-5776244</w:t>
      </w:r>
    </w:p>
    <w:p w14:paraId="0C8F57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市卫健委：0475-8212625</w:t>
      </w:r>
    </w:p>
    <w:p w14:paraId="77663E1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市教育局：0475-5775306</w:t>
      </w:r>
    </w:p>
    <w:p w14:paraId="012E69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咨询时间：工作日8:30-12:00   14:30-17:30</w:t>
      </w:r>
    </w:p>
    <w:p w14:paraId="753599CA">
      <w:pPr>
        <w:keepNext w:val="0"/>
        <w:keepLines w:val="0"/>
        <w:pageBreakBefore w:val="0"/>
        <w:widowControl w:val="0"/>
        <w:kinsoku/>
        <w:wordWrap/>
        <w:overflowPunct/>
        <w:topLinePunct w:val="0"/>
        <w:autoSpaceDE/>
        <w:autoSpaceDN/>
        <w:bidi w:val="0"/>
        <w:adjustRightInd/>
        <w:snapToGrid/>
        <w:spacing w:line="550" w:lineRule="exact"/>
        <w:ind w:left="1598" w:leftChars="304" w:hanging="960" w:hangingChars="3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1.通辽市直事业单位2026年第一批次人才需求目录（综合类岗位）</w:t>
      </w:r>
    </w:p>
    <w:p w14:paraId="10275A23">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2.通辽市直事业单位2026年第一批次人才需求目录（卫健系统</w:t>
      </w:r>
      <w:r>
        <w:rPr>
          <w:rFonts w:hint="eastAsia" w:ascii="Times New Roman" w:hAnsi="Times New Roman" w:eastAsia="仿宋" w:cs="Times New Roman"/>
          <w:color w:val="auto"/>
          <w:sz w:val="32"/>
          <w:szCs w:val="32"/>
          <w:highlight w:val="none"/>
          <w:u w:val="none"/>
          <w:lang w:val="en-US" w:eastAsia="zh-CN"/>
        </w:rPr>
        <w:t>医疗</w:t>
      </w:r>
      <w:r>
        <w:rPr>
          <w:rFonts w:hint="default" w:ascii="Times New Roman" w:hAnsi="Times New Roman" w:eastAsia="仿宋" w:cs="Times New Roman"/>
          <w:color w:val="auto"/>
          <w:sz w:val="32"/>
          <w:szCs w:val="32"/>
          <w:highlight w:val="none"/>
          <w:u w:val="none"/>
          <w:lang w:val="en-US" w:eastAsia="zh-CN"/>
        </w:rPr>
        <w:t>岗位）</w:t>
      </w:r>
    </w:p>
    <w:p w14:paraId="5C907A6D">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3.通辽市直事业单位2026年第一批次人才需求目录（教育系统</w:t>
      </w:r>
      <w:r>
        <w:rPr>
          <w:rFonts w:hint="eastAsia" w:ascii="Times New Roman" w:hAnsi="Times New Roman" w:eastAsia="仿宋" w:cs="Times New Roman"/>
          <w:color w:val="auto"/>
          <w:sz w:val="32"/>
          <w:szCs w:val="32"/>
          <w:highlight w:val="none"/>
          <w:u w:val="none"/>
          <w:lang w:val="en-US" w:eastAsia="zh-CN"/>
        </w:rPr>
        <w:t>教师</w:t>
      </w:r>
      <w:r>
        <w:rPr>
          <w:rFonts w:hint="default" w:ascii="Times New Roman" w:hAnsi="Times New Roman" w:eastAsia="仿宋" w:cs="Times New Roman"/>
          <w:color w:val="auto"/>
          <w:sz w:val="32"/>
          <w:szCs w:val="32"/>
          <w:highlight w:val="none"/>
          <w:u w:val="none"/>
          <w:lang w:val="en-US" w:eastAsia="zh-CN"/>
        </w:rPr>
        <w:t>岗位）</w:t>
      </w:r>
    </w:p>
    <w:p w14:paraId="283FD612">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4.通辽市直事业单位2026年第一批次人才引进人才评价表（综合类岗位）及填报说明</w:t>
      </w:r>
    </w:p>
    <w:p w14:paraId="2741AEBE">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5.通辽市直事业单位2026年第一批次人才引进人才评价表</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卫健系统岗位</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及填报说明</w:t>
      </w:r>
    </w:p>
    <w:p w14:paraId="4A1CD9D1">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val="en-US" w:eastAsia="zh-CN"/>
        </w:rPr>
        <w:t>6.通辽市直事业单位2026年第一批次人才引进人才评价表</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教育系统岗位</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及填报说明</w:t>
      </w:r>
    </w:p>
    <w:p w14:paraId="0A8DF229">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default" w:ascii="Times New Roman" w:hAnsi="Times New Roman" w:eastAsia="仿宋" w:cs="Times New Roman"/>
          <w:color w:val="auto"/>
          <w:sz w:val="32"/>
          <w:szCs w:val="32"/>
          <w:highlight w:val="none"/>
          <w:u w:val="none"/>
          <w:lang w:val="en-US" w:eastAsia="zh-CN"/>
        </w:rPr>
      </w:pPr>
    </w:p>
    <w:p w14:paraId="461664A3">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default" w:ascii="Times New Roman" w:hAnsi="Times New Roman" w:eastAsia="仿宋" w:cs="Times New Roman"/>
          <w:color w:val="auto"/>
          <w:sz w:val="32"/>
          <w:szCs w:val="32"/>
          <w:highlight w:val="none"/>
          <w:u w:val="none"/>
          <w:lang w:val="en-US" w:eastAsia="zh-CN"/>
        </w:rPr>
      </w:pPr>
    </w:p>
    <w:p w14:paraId="4F7071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通辽市委人才工作领导小组办公室</w:t>
      </w:r>
    </w:p>
    <w:p w14:paraId="1D541C4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2025年12月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0C73D-18CF-427F-A39D-67942286BD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A6CACFB8-122C-45CB-AB03-B7C43622B479}"/>
  </w:font>
  <w:font w:name="仿宋">
    <w:panose1 w:val="02010609060101010101"/>
    <w:charset w:val="86"/>
    <w:family w:val="modern"/>
    <w:pitch w:val="default"/>
    <w:sig w:usb0="800002BF" w:usb1="38CF7CFA" w:usb2="00000016" w:usb3="00000000" w:csb0="00040001" w:csb1="00000000"/>
    <w:embedRegular r:id="rId3" w:fontKey="{8BD90093-234C-4D0B-8107-EC37AB74A138}"/>
  </w:font>
  <w:font w:name="楷体">
    <w:panose1 w:val="02010609060101010101"/>
    <w:charset w:val="86"/>
    <w:family w:val="auto"/>
    <w:pitch w:val="default"/>
    <w:sig w:usb0="800002BF" w:usb1="38CF7CFA" w:usb2="00000016" w:usb3="00000000" w:csb0="00040001" w:csb1="00000000"/>
    <w:embedRegular r:id="rId4" w:fontKey="{2E4CC3F8-7000-4DC6-8091-260A45ADE440}"/>
  </w:font>
  <w:font w:name="仿宋_GB2312">
    <w:panose1 w:val="02010609030101010101"/>
    <w:charset w:val="86"/>
    <w:family w:val="modern"/>
    <w:pitch w:val="default"/>
    <w:sig w:usb0="00000001" w:usb1="080E0000" w:usb2="00000000" w:usb3="00000000" w:csb0="00040000" w:csb1="00000000"/>
    <w:embedRegular r:id="rId5" w:fontKey="{7F92390D-5986-48DA-B86E-401EFF1108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185FE47B">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44CA4C9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704C86"/>
    <w:rsid w:val="00C070EF"/>
    <w:rsid w:val="00E84814"/>
    <w:rsid w:val="021E5F54"/>
    <w:rsid w:val="04731845"/>
    <w:rsid w:val="054B3E93"/>
    <w:rsid w:val="062414AE"/>
    <w:rsid w:val="066E42A7"/>
    <w:rsid w:val="06C42D4A"/>
    <w:rsid w:val="0802440D"/>
    <w:rsid w:val="08205358"/>
    <w:rsid w:val="085A7913"/>
    <w:rsid w:val="08E43D0E"/>
    <w:rsid w:val="09CC31D3"/>
    <w:rsid w:val="09E455AB"/>
    <w:rsid w:val="0A382269"/>
    <w:rsid w:val="0C015A24"/>
    <w:rsid w:val="0C4D7C21"/>
    <w:rsid w:val="0D7A53AC"/>
    <w:rsid w:val="0EC23C51"/>
    <w:rsid w:val="0ED33B6F"/>
    <w:rsid w:val="0EF47938"/>
    <w:rsid w:val="0FC35975"/>
    <w:rsid w:val="0FC91302"/>
    <w:rsid w:val="10AC54B4"/>
    <w:rsid w:val="13BA1693"/>
    <w:rsid w:val="14107B97"/>
    <w:rsid w:val="15141A6F"/>
    <w:rsid w:val="160F08FB"/>
    <w:rsid w:val="16516988"/>
    <w:rsid w:val="19A11E95"/>
    <w:rsid w:val="1BA049AC"/>
    <w:rsid w:val="1BC90FCC"/>
    <w:rsid w:val="1CBD0CF3"/>
    <w:rsid w:val="1D712306"/>
    <w:rsid w:val="1DEE1634"/>
    <w:rsid w:val="1DF67A2F"/>
    <w:rsid w:val="1F732F90"/>
    <w:rsid w:val="20111D38"/>
    <w:rsid w:val="20873BDC"/>
    <w:rsid w:val="21731A80"/>
    <w:rsid w:val="221F299C"/>
    <w:rsid w:val="2236020A"/>
    <w:rsid w:val="227C7E07"/>
    <w:rsid w:val="242D4884"/>
    <w:rsid w:val="24B52B9F"/>
    <w:rsid w:val="252B1A3B"/>
    <w:rsid w:val="25FB55AF"/>
    <w:rsid w:val="262D66A1"/>
    <w:rsid w:val="26BA2AF9"/>
    <w:rsid w:val="26E34FB2"/>
    <w:rsid w:val="270A4A75"/>
    <w:rsid w:val="276E106B"/>
    <w:rsid w:val="27873771"/>
    <w:rsid w:val="28A50882"/>
    <w:rsid w:val="28FA3E62"/>
    <w:rsid w:val="29161D60"/>
    <w:rsid w:val="29AE72EC"/>
    <w:rsid w:val="29B01AE6"/>
    <w:rsid w:val="2B207CAC"/>
    <w:rsid w:val="2CA14D9B"/>
    <w:rsid w:val="2CC72570"/>
    <w:rsid w:val="2DFC0E23"/>
    <w:rsid w:val="2E1C011C"/>
    <w:rsid w:val="2FEB0644"/>
    <w:rsid w:val="301E3DB5"/>
    <w:rsid w:val="30AE5320"/>
    <w:rsid w:val="31045920"/>
    <w:rsid w:val="32312B51"/>
    <w:rsid w:val="340F7EDB"/>
    <w:rsid w:val="34EA2077"/>
    <w:rsid w:val="34EC7636"/>
    <w:rsid w:val="3548781E"/>
    <w:rsid w:val="35B50461"/>
    <w:rsid w:val="362E3BF3"/>
    <w:rsid w:val="368A12F2"/>
    <w:rsid w:val="368F0CB2"/>
    <w:rsid w:val="39A06D83"/>
    <w:rsid w:val="39A57290"/>
    <w:rsid w:val="39E71AB7"/>
    <w:rsid w:val="3A651B12"/>
    <w:rsid w:val="3C52521B"/>
    <w:rsid w:val="3D390BD6"/>
    <w:rsid w:val="3D6E33D0"/>
    <w:rsid w:val="3DDF3C75"/>
    <w:rsid w:val="3E646329"/>
    <w:rsid w:val="401630E5"/>
    <w:rsid w:val="40F83EE5"/>
    <w:rsid w:val="418036D2"/>
    <w:rsid w:val="41C612DB"/>
    <w:rsid w:val="41F82636"/>
    <w:rsid w:val="424234C2"/>
    <w:rsid w:val="432D6AC5"/>
    <w:rsid w:val="447313E9"/>
    <w:rsid w:val="44A771C7"/>
    <w:rsid w:val="44BD08A3"/>
    <w:rsid w:val="453C7DAD"/>
    <w:rsid w:val="455B2A5D"/>
    <w:rsid w:val="466A51B6"/>
    <w:rsid w:val="487E7DDC"/>
    <w:rsid w:val="48B43F9A"/>
    <w:rsid w:val="491B72C6"/>
    <w:rsid w:val="49492F43"/>
    <w:rsid w:val="496549D0"/>
    <w:rsid w:val="49E2290A"/>
    <w:rsid w:val="4AAF2D7F"/>
    <w:rsid w:val="4B891B99"/>
    <w:rsid w:val="4D4856AA"/>
    <w:rsid w:val="4D7A6BC7"/>
    <w:rsid w:val="4F451D48"/>
    <w:rsid w:val="4F4C0142"/>
    <w:rsid w:val="51425F33"/>
    <w:rsid w:val="51485689"/>
    <w:rsid w:val="51797D75"/>
    <w:rsid w:val="52B85ADE"/>
    <w:rsid w:val="541742C8"/>
    <w:rsid w:val="55D5710B"/>
    <w:rsid w:val="56503B63"/>
    <w:rsid w:val="56765C17"/>
    <w:rsid w:val="572877DB"/>
    <w:rsid w:val="575E1654"/>
    <w:rsid w:val="57A557C9"/>
    <w:rsid w:val="58151D8A"/>
    <w:rsid w:val="587929E8"/>
    <w:rsid w:val="5A3C3C03"/>
    <w:rsid w:val="5AF44054"/>
    <w:rsid w:val="5BD73199"/>
    <w:rsid w:val="5C877181"/>
    <w:rsid w:val="5D0C3B7C"/>
    <w:rsid w:val="5D5072A2"/>
    <w:rsid w:val="5EB968D0"/>
    <w:rsid w:val="5EE65064"/>
    <w:rsid w:val="5F36382D"/>
    <w:rsid w:val="60893491"/>
    <w:rsid w:val="61646DB2"/>
    <w:rsid w:val="61D948F3"/>
    <w:rsid w:val="62A0501B"/>
    <w:rsid w:val="62F060C2"/>
    <w:rsid w:val="635436AD"/>
    <w:rsid w:val="6489532C"/>
    <w:rsid w:val="64D82F36"/>
    <w:rsid w:val="65E63183"/>
    <w:rsid w:val="66150FF6"/>
    <w:rsid w:val="67F93AA3"/>
    <w:rsid w:val="68CA1553"/>
    <w:rsid w:val="6AB82F2B"/>
    <w:rsid w:val="6B0D2030"/>
    <w:rsid w:val="6B7518DE"/>
    <w:rsid w:val="6B7554FB"/>
    <w:rsid w:val="6B7C613C"/>
    <w:rsid w:val="6C1A5D13"/>
    <w:rsid w:val="6C535054"/>
    <w:rsid w:val="6C632D84"/>
    <w:rsid w:val="6CEB5BAD"/>
    <w:rsid w:val="6D1E3AD4"/>
    <w:rsid w:val="6D266F73"/>
    <w:rsid w:val="6DE04B94"/>
    <w:rsid w:val="6E007A97"/>
    <w:rsid w:val="6EB86061"/>
    <w:rsid w:val="6EDF2CCD"/>
    <w:rsid w:val="6F073A69"/>
    <w:rsid w:val="6F183356"/>
    <w:rsid w:val="70F45C74"/>
    <w:rsid w:val="7208592D"/>
    <w:rsid w:val="72434727"/>
    <w:rsid w:val="737004FF"/>
    <w:rsid w:val="76B93F16"/>
    <w:rsid w:val="783C4F50"/>
    <w:rsid w:val="78477BCC"/>
    <w:rsid w:val="788C167B"/>
    <w:rsid w:val="788E147C"/>
    <w:rsid w:val="7ABB6F4D"/>
    <w:rsid w:val="7AEA561B"/>
    <w:rsid w:val="7B015AD2"/>
    <w:rsid w:val="7CDA28A7"/>
    <w:rsid w:val="7D627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9c02d9b2-3b4c-4784-b8f9-644105d5e823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6074D5C7</paraID>
      <start>22</start>
      <end>23</end>
      <status>ignored</status>
      <modifiedWord/>
      <trackRevisions>false</trackRevisions>
    </reviewItem>
    <reviewItem>
      <errorID>275bfb51-4120-4ab2-8de0-6a8132fa3ee0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1F926637</paraID>
      <start>51</start>
      <end>52</end>
      <status>ignored</status>
      <modifiedWord/>
      <trackRevisions>false</trackRevisions>
    </reviewItem>
    <reviewItem>
      <errorID>db846647-6246-449e-9ec9-cd31725855c7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5F09D565</paraID>
      <start>79</start>
      <end>80</end>
      <status>ignored</status>
      <modifiedWord/>
      <trackRevisions>false</trackRevisions>
    </reviewItem>
    <reviewItem>
      <errorID>3d139554-7d62-4711-bacd-0619154f9dea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3CD7CEF8</paraID>
      <start>74</start>
      <end>75</end>
      <status>ignored</status>
      <modifiedWord/>
      <trackRevisions>false</trackRevisions>
    </reviewItem>
  </reviewItems>
  <config/>
</contractReview>
</file>

<file path=customXml/itemProps1.xml><?xml version="1.0" encoding="utf-8"?>
<ds:datastoreItem xmlns:ds="http://schemas.openxmlformats.org/officeDocument/2006/customXml" ds:itemID="{cfbd85cf-0d43-41c7-959e-23817453c46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6944</Words>
  <Characters>7361</Characters>
  <Lines>0</Lines>
  <Paragraphs>0</Paragraphs>
  <TotalTime>224</TotalTime>
  <ScaleCrop>false</ScaleCrop>
  <LinksUpToDate>false</LinksUpToDate>
  <CharactersWithSpaces>7405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2025-12-16T07:55:00Z</cp:lastPrinted>
  <dcterms:modified xsi:type="dcterms:W3CDTF">2025-12-17T11:40:51Z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1BBBCB095D384B5D800362B2562B2BF3_13</vt:lpwstr>
  </property>
  <property fmtid="{D5CDD505-2E9C-101B-9397-08002B2CF9AE}" pid="4" name="KSOTemplateDocerSaveRecord">
    <vt:lpwstr>eyJoZGlkIjoiYmMzYzNkZjU0YjUwZDg0NGI4OTFmYzYxNTI5MmZiMmIiLCJ1c2VySWQiOiIyNjQ0MDYxMzIifQ==</vt:lpwstr>
  </property>
</Properties>
</file>