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02176">
      <w:pPr>
        <w:jc w:val="left"/>
        <w:rPr>
          <w:rFonts w:hint="eastAsia" w:ascii="黑体" w:hAnsi="黑体" w:eastAsia="黑体" w:cs="黑体"/>
          <w:b w:val="0"/>
          <w:color w:val="auto"/>
          <w:spacing w:val="-17"/>
          <w:sz w:val="28"/>
          <w:szCs w:val="28"/>
          <w:highlight w:val="none"/>
          <w:lang w:val="en-US" w:eastAsia="zh-CN"/>
        </w:rPr>
      </w:pPr>
      <w:r>
        <w:rPr>
          <w:rFonts w:hint="eastAsia" w:ascii="黑体" w:hAnsi="黑体" w:eastAsia="黑体" w:cs="黑体"/>
          <w:b w:val="0"/>
          <w:color w:val="auto"/>
          <w:spacing w:val="-17"/>
          <w:sz w:val="28"/>
          <w:szCs w:val="28"/>
          <w:highlight w:val="none"/>
          <w:lang w:eastAsia="zh-CN"/>
        </w:rPr>
        <w:t>附件</w:t>
      </w:r>
      <w:r>
        <w:rPr>
          <w:rFonts w:hint="eastAsia" w:ascii="黑体" w:hAnsi="黑体" w:eastAsia="黑体" w:cs="黑体"/>
          <w:b w:val="0"/>
          <w:color w:val="auto"/>
          <w:spacing w:val="-17"/>
          <w:sz w:val="28"/>
          <w:szCs w:val="28"/>
          <w:highlight w:val="none"/>
          <w:lang w:val="en-US" w:eastAsia="zh-CN"/>
        </w:rPr>
        <w:t>9-2：</w:t>
      </w:r>
    </w:p>
    <w:p w14:paraId="491BFD9A">
      <w:pPr>
        <w:jc w:val="center"/>
        <w:rPr>
          <w:rFonts w:hint="eastAsia" w:ascii="方正小标宋简体" w:hAnsi="黑体" w:eastAsia="方正小标宋简体"/>
          <w:b w:val="0"/>
          <w:color w:val="auto"/>
          <w:spacing w:val="0"/>
          <w:sz w:val="32"/>
          <w:szCs w:val="32"/>
          <w:highlight w:val="none"/>
          <w:lang w:val="en-US" w:eastAsia="zh-CN"/>
        </w:rPr>
      </w:pPr>
      <w:r>
        <w:rPr>
          <w:rFonts w:hint="eastAsia" w:ascii="方正小标宋简体" w:hAnsi="黑体" w:eastAsia="方正小标宋简体"/>
          <w:b w:val="0"/>
          <w:color w:val="auto"/>
          <w:spacing w:val="0"/>
          <w:sz w:val="32"/>
          <w:szCs w:val="32"/>
          <w:highlight w:val="none"/>
          <w:lang w:val="en-US" w:eastAsia="zh-CN"/>
        </w:rPr>
        <w:t>奈曼旗事业单位2026年第一批次人才引进人才评价表</w:t>
      </w:r>
    </w:p>
    <w:p w14:paraId="411E0D76">
      <w:pPr>
        <w:jc w:val="both"/>
        <w:rPr>
          <w:rFonts w:ascii="方正小标宋简体" w:hAnsi="黑体" w:eastAsia="方正小标宋简体"/>
          <w:b w:val="0"/>
          <w:color w:val="auto"/>
          <w:sz w:val="36"/>
          <w:szCs w:val="36"/>
          <w:highlight w:val="none"/>
        </w:rPr>
      </w:pPr>
      <w:r>
        <w:rPr>
          <w:rFonts w:hint="eastAsia" w:ascii="方正小标宋简体" w:hAnsi="黑体" w:eastAsia="方正小标宋简体"/>
          <w:b w:val="0"/>
          <w:color w:val="auto"/>
          <w:sz w:val="24"/>
          <w:szCs w:val="24"/>
          <w:highlight w:val="none"/>
          <w:lang w:eastAsia="zh-CN"/>
        </w:rPr>
        <w:t>报考单位：</w:t>
      </w:r>
      <w:r>
        <w:rPr>
          <w:rFonts w:hint="eastAsia" w:ascii="方正小标宋简体" w:hAnsi="黑体" w:eastAsia="方正小标宋简体"/>
          <w:b w:val="0"/>
          <w:color w:val="auto"/>
          <w:sz w:val="24"/>
          <w:szCs w:val="24"/>
          <w:highlight w:val="none"/>
          <w:u w:val="single"/>
          <w:lang w:val="en-US" w:eastAsia="zh-CN"/>
        </w:rPr>
        <w:t xml:space="preserve">               </w:t>
      </w:r>
      <w:r>
        <w:rPr>
          <w:rFonts w:hint="eastAsia" w:ascii="方正小标宋简体" w:hAnsi="黑体" w:eastAsia="方正小标宋简体"/>
          <w:b w:val="0"/>
          <w:color w:val="auto"/>
          <w:sz w:val="24"/>
          <w:szCs w:val="24"/>
          <w:highlight w:val="none"/>
          <w:u w:val="none"/>
          <w:lang w:val="en-US" w:eastAsia="zh-CN"/>
        </w:rPr>
        <w:t xml:space="preserve"> 报考岗位：</w:t>
      </w:r>
      <w:r>
        <w:rPr>
          <w:rFonts w:hint="eastAsia" w:ascii="方正小标宋简体" w:hAnsi="黑体" w:eastAsia="方正小标宋简体"/>
          <w:b w:val="0"/>
          <w:color w:val="auto"/>
          <w:sz w:val="24"/>
          <w:szCs w:val="24"/>
          <w:highlight w:val="none"/>
          <w:u w:val="single"/>
          <w:lang w:val="en-US" w:eastAsia="zh-CN"/>
        </w:rPr>
        <w:t xml:space="preserve">              </w:t>
      </w:r>
      <w:r>
        <w:rPr>
          <w:rFonts w:hint="eastAsia" w:ascii="方正小标宋简体" w:hAnsi="黑体" w:eastAsia="方正小标宋简体"/>
          <w:b w:val="0"/>
          <w:color w:val="auto"/>
          <w:sz w:val="24"/>
          <w:szCs w:val="24"/>
          <w:highlight w:val="none"/>
          <w:u w:val="none"/>
          <w:lang w:val="en-US" w:eastAsia="zh-CN"/>
        </w:rPr>
        <w:t xml:space="preserve">   </w:t>
      </w:r>
      <w:r>
        <w:rPr>
          <w:rFonts w:hint="eastAsia" w:ascii="方正小标宋简体" w:hAnsi="黑体" w:eastAsia="方正小标宋简体"/>
          <w:b w:val="0"/>
          <w:color w:val="auto"/>
          <w:sz w:val="24"/>
          <w:szCs w:val="24"/>
          <w:highlight w:val="none"/>
          <w:lang w:val="en-US" w:eastAsia="zh-CN"/>
        </w:rPr>
        <w:t>自评得分：</w:t>
      </w:r>
      <w:r>
        <w:rPr>
          <w:rFonts w:hint="eastAsia" w:ascii="方正小标宋简体" w:hAnsi="黑体" w:eastAsia="方正小标宋简体"/>
          <w:b w:val="0"/>
          <w:color w:val="auto"/>
          <w:sz w:val="24"/>
          <w:szCs w:val="24"/>
          <w:highlight w:val="none"/>
          <w:u w:val="single"/>
          <w:lang w:val="en-US" w:eastAsia="zh-CN"/>
        </w:rPr>
        <w:t xml:space="preserve">          </w:t>
      </w:r>
      <w:r>
        <w:rPr>
          <w:rFonts w:hint="eastAsia" w:ascii="方正小标宋简体" w:hAnsi="黑体" w:eastAsia="方正小标宋简体"/>
          <w:b w:val="0"/>
          <w:color w:val="auto"/>
          <w:sz w:val="24"/>
          <w:szCs w:val="24"/>
          <w:highlight w:val="none"/>
          <w:u w:val="none"/>
          <w:lang w:val="en-US" w:eastAsia="zh-CN"/>
        </w:rPr>
        <w:t xml:space="preserve">  </w:t>
      </w:r>
      <w:r>
        <w:rPr>
          <w:rFonts w:hint="eastAsia" w:ascii="方正小标宋简体" w:hAnsi="黑体" w:eastAsia="方正小标宋简体"/>
          <w:b w:val="0"/>
          <w:color w:val="auto"/>
          <w:sz w:val="24"/>
          <w:szCs w:val="24"/>
          <w:highlight w:val="none"/>
          <w:lang w:val="en-US" w:eastAsia="zh-CN"/>
        </w:rPr>
        <w:t xml:space="preserve">复核得分： </w:t>
      </w:r>
      <w:r>
        <w:rPr>
          <w:rFonts w:hint="eastAsia" w:ascii="方正小标宋简体" w:hAnsi="黑体" w:eastAsia="方正小标宋简体"/>
          <w:b w:val="0"/>
          <w:color w:val="auto"/>
          <w:sz w:val="24"/>
          <w:szCs w:val="24"/>
          <w:highlight w:val="none"/>
          <w:u w:val="single"/>
          <w:lang w:val="en-US" w:eastAsia="zh-CN"/>
        </w:rPr>
        <w:t xml:space="preserve">           </w:t>
      </w:r>
    </w:p>
    <w:tbl>
      <w:tblPr>
        <w:tblStyle w:val="3"/>
        <w:tblW w:w="5000" w:type="pct"/>
        <w:jc w:val="center"/>
        <w:tblLayout w:type="autofit"/>
        <w:tblCellMar>
          <w:top w:w="0" w:type="dxa"/>
          <w:left w:w="108" w:type="dxa"/>
          <w:bottom w:w="0" w:type="dxa"/>
          <w:right w:w="108" w:type="dxa"/>
        </w:tblCellMar>
      </w:tblPr>
      <w:tblGrid>
        <w:gridCol w:w="719"/>
        <w:gridCol w:w="788"/>
        <w:gridCol w:w="7152"/>
        <w:gridCol w:w="526"/>
        <w:gridCol w:w="734"/>
        <w:gridCol w:w="503"/>
      </w:tblGrid>
      <w:tr w14:paraId="2DF3083A">
        <w:tblPrEx>
          <w:tblCellMar>
            <w:top w:w="0" w:type="dxa"/>
            <w:left w:w="108" w:type="dxa"/>
            <w:bottom w:w="0" w:type="dxa"/>
            <w:right w:w="108" w:type="dxa"/>
          </w:tblCellMar>
        </w:tblPrEx>
        <w:trPr>
          <w:trHeight w:val="611" w:hRule="atLeast"/>
          <w:jc w:val="center"/>
        </w:trPr>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14:paraId="5B321003">
            <w:pPr>
              <w:widowControl/>
              <w:jc w:val="center"/>
              <w:rPr>
                <w:rFonts w:ascii="黑体" w:hAnsi="黑体" w:eastAsia="黑体" w:cs="宋体"/>
                <w:b w:val="0"/>
                <w:color w:val="auto"/>
                <w:spacing w:val="0"/>
                <w:sz w:val="21"/>
                <w:szCs w:val="24"/>
                <w:highlight w:val="none"/>
              </w:rPr>
            </w:pPr>
            <w:r>
              <w:rPr>
                <w:rFonts w:hint="eastAsia" w:ascii="黑体" w:hAnsi="黑体" w:eastAsia="黑体" w:cs="宋体"/>
                <w:b w:val="0"/>
                <w:color w:val="auto"/>
                <w:spacing w:val="0"/>
                <w:sz w:val="21"/>
                <w:szCs w:val="24"/>
                <w:highlight w:val="none"/>
              </w:rPr>
              <w:t>评价类别</w:t>
            </w:r>
          </w:p>
        </w:tc>
        <w:tc>
          <w:tcPr>
            <w:tcW w:w="378" w:type="pct"/>
            <w:tcBorders>
              <w:top w:val="single" w:color="auto" w:sz="4" w:space="0"/>
              <w:left w:val="nil"/>
              <w:bottom w:val="single" w:color="auto" w:sz="4" w:space="0"/>
              <w:right w:val="single" w:color="auto" w:sz="4" w:space="0"/>
            </w:tcBorders>
            <w:shd w:val="clear" w:color="auto" w:fill="auto"/>
            <w:vAlign w:val="center"/>
          </w:tcPr>
          <w:p w14:paraId="171056A0">
            <w:pPr>
              <w:widowControl/>
              <w:jc w:val="center"/>
              <w:rPr>
                <w:rFonts w:ascii="黑体" w:hAnsi="黑体" w:eastAsia="黑体" w:cs="宋体"/>
                <w:b w:val="0"/>
                <w:color w:val="auto"/>
                <w:spacing w:val="0"/>
                <w:sz w:val="21"/>
                <w:szCs w:val="24"/>
                <w:highlight w:val="none"/>
              </w:rPr>
            </w:pPr>
            <w:r>
              <w:rPr>
                <w:rFonts w:hint="eastAsia" w:ascii="黑体" w:hAnsi="黑体" w:eastAsia="黑体" w:cs="宋体"/>
                <w:b w:val="0"/>
                <w:color w:val="auto"/>
                <w:spacing w:val="0"/>
                <w:sz w:val="21"/>
                <w:szCs w:val="24"/>
                <w:highlight w:val="none"/>
              </w:rPr>
              <w:t>评价</w:t>
            </w:r>
          </w:p>
          <w:p w14:paraId="501C5C93">
            <w:pPr>
              <w:widowControl/>
              <w:jc w:val="center"/>
              <w:rPr>
                <w:rFonts w:ascii="黑体" w:hAnsi="黑体" w:eastAsia="黑体" w:cs="宋体"/>
                <w:b w:val="0"/>
                <w:color w:val="auto"/>
                <w:spacing w:val="0"/>
                <w:sz w:val="21"/>
                <w:szCs w:val="24"/>
                <w:highlight w:val="none"/>
              </w:rPr>
            </w:pPr>
            <w:r>
              <w:rPr>
                <w:rFonts w:hint="eastAsia" w:ascii="黑体" w:hAnsi="黑体" w:eastAsia="黑体" w:cs="宋体"/>
                <w:b w:val="0"/>
                <w:color w:val="auto"/>
                <w:spacing w:val="0"/>
                <w:sz w:val="21"/>
                <w:szCs w:val="24"/>
                <w:highlight w:val="none"/>
              </w:rPr>
              <w:t>项目</w:t>
            </w:r>
          </w:p>
        </w:tc>
        <w:tc>
          <w:tcPr>
            <w:tcW w:w="3429" w:type="pct"/>
            <w:tcBorders>
              <w:top w:val="single" w:color="auto" w:sz="4" w:space="0"/>
              <w:left w:val="nil"/>
              <w:bottom w:val="single" w:color="auto" w:sz="4" w:space="0"/>
              <w:right w:val="single" w:color="auto" w:sz="4" w:space="0"/>
            </w:tcBorders>
            <w:shd w:val="clear" w:color="auto" w:fill="auto"/>
            <w:vAlign w:val="center"/>
          </w:tcPr>
          <w:p w14:paraId="2DE60AD3">
            <w:pPr>
              <w:widowControl/>
              <w:jc w:val="center"/>
              <w:rPr>
                <w:rFonts w:ascii="黑体" w:hAnsi="黑体" w:eastAsia="黑体" w:cs="宋体"/>
                <w:b w:val="0"/>
                <w:color w:val="auto"/>
                <w:spacing w:val="0"/>
                <w:sz w:val="21"/>
                <w:szCs w:val="24"/>
                <w:highlight w:val="none"/>
              </w:rPr>
            </w:pPr>
            <w:r>
              <w:rPr>
                <w:rFonts w:hint="eastAsia" w:ascii="黑体" w:hAnsi="黑体" w:eastAsia="黑体" w:cs="宋体"/>
                <w:b w:val="0"/>
                <w:color w:val="auto"/>
                <w:spacing w:val="0"/>
                <w:sz w:val="21"/>
                <w:szCs w:val="24"/>
                <w:highlight w:val="none"/>
              </w:rPr>
              <w:t>赋分标准</w:t>
            </w:r>
          </w:p>
        </w:tc>
        <w:tc>
          <w:tcPr>
            <w:tcW w:w="252" w:type="pct"/>
            <w:tcBorders>
              <w:top w:val="single" w:color="auto" w:sz="4" w:space="0"/>
              <w:left w:val="nil"/>
              <w:bottom w:val="single" w:color="auto" w:sz="4" w:space="0"/>
              <w:right w:val="single" w:color="auto" w:sz="4" w:space="0"/>
            </w:tcBorders>
            <w:shd w:val="clear" w:color="auto" w:fill="auto"/>
            <w:vAlign w:val="center"/>
          </w:tcPr>
          <w:p w14:paraId="26B7737E">
            <w:pPr>
              <w:widowControl/>
              <w:jc w:val="center"/>
              <w:rPr>
                <w:rFonts w:ascii="黑体" w:hAnsi="黑体" w:eastAsia="黑体" w:cs="宋体"/>
                <w:b w:val="0"/>
                <w:color w:val="auto"/>
                <w:spacing w:val="0"/>
                <w:sz w:val="21"/>
                <w:szCs w:val="24"/>
                <w:highlight w:val="none"/>
              </w:rPr>
            </w:pPr>
            <w:r>
              <w:rPr>
                <w:rFonts w:hint="eastAsia" w:ascii="黑体" w:hAnsi="黑体" w:eastAsia="黑体" w:cs="宋体"/>
                <w:b w:val="0"/>
                <w:color w:val="auto"/>
                <w:spacing w:val="0"/>
                <w:sz w:val="21"/>
                <w:szCs w:val="24"/>
                <w:highlight w:val="none"/>
              </w:rPr>
              <w:t>赋分</w:t>
            </w:r>
          </w:p>
          <w:p w14:paraId="6D113F3E">
            <w:pPr>
              <w:widowControl/>
              <w:jc w:val="center"/>
              <w:rPr>
                <w:rFonts w:ascii="黑体" w:hAnsi="黑体" w:eastAsia="黑体" w:cs="宋体"/>
                <w:b w:val="0"/>
                <w:color w:val="auto"/>
                <w:spacing w:val="0"/>
                <w:sz w:val="21"/>
                <w:szCs w:val="24"/>
                <w:highlight w:val="none"/>
              </w:rPr>
            </w:pPr>
            <w:r>
              <w:rPr>
                <w:rFonts w:hint="eastAsia" w:ascii="黑体" w:hAnsi="黑体" w:eastAsia="黑体" w:cs="宋体"/>
                <w:b w:val="0"/>
                <w:color w:val="auto"/>
                <w:spacing w:val="0"/>
                <w:sz w:val="21"/>
                <w:szCs w:val="24"/>
                <w:highlight w:val="none"/>
              </w:rPr>
              <w:t>总分</w:t>
            </w:r>
          </w:p>
        </w:tc>
        <w:tc>
          <w:tcPr>
            <w:tcW w:w="352" w:type="pct"/>
            <w:tcBorders>
              <w:top w:val="single" w:color="auto" w:sz="4" w:space="0"/>
              <w:left w:val="nil"/>
              <w:bottom w:val="single" w:color="auto" w:sz="4" w:space="0"/>
              <w:right w:val="single" w:color="auto" w:sz="4" w:space="0"/>
            </w:tcBorders>
            <w:shd w:val="clear" w:color="auto" w:fill="auto"/>
            <w:vAlign w:val="center"/>
          </w:tcPr>
          <w:p w14:paraId="0D97085C">
            <w:pPr>
              <w:widowControl/>
              <w:jc w:val="center"/>
              <w:rPr>
                <w:rFonts w:ascii="黑体" w:hAnsi="黑体" w:eastAsia="黑体" w:cs="宋体"/>
                <w:b w:val="0"/>
                <w:color w:val="auto"/>
                <w:spacing w:val="0"/>
                <w:sz w:val="21"/>
                <w:szCs w:val="24"/>
                <w:highlight w:val="none"/>
              </w:rPr>
            </w:pPr>
            <w:r>
              <w:rPr>
                <w:rFonts w:hint="eastAsia" w:ascii="黑体" w:hAnsi="黑体" w:eastAsia="黑体" w:cs="宋体"/>
                <w:b w:val="0"/>
                <w:color w:val="auto"/>
                <w:spacing w:val="0"/>
                <w:sz w:val="21"/>
                <w:szCs w:val="24"/>
                <w:highlight w:val="none"/>
              </w:rPr>
              <w:t>自评得分项</w:t>
            </w:r>
          </w:p>
        </w:tc>
        <w:tc>
          <w:tcPr>
            <w:tcW w:w="241" w:type="pct"/>
            <w:tcBorders>
              <w:top w:val="single" w:color="auto" w:sz="4" w:space="0"/>
              <w:left w:val="nil"/>
              <w:bottom w:val="single" w:color="auto" w:sz="4" w:space="0"/>
              <w:right w:val="single" w:color="auto" w:sz="4" w:space="0"/>
            </w:tcBorders>
            <w:shd w:val="clear" w:color="auto" w:fill="auto"/>
            <w:vAlign w:val="center"/>
          </w:tcPr>
          <w:p w14:paraId="14C3AF4A">
            <w:pPr>
              <w:widowControl/>
              <w:jc w:val="center"/>
              <w:rPr>
                <w:rFonts w:ascii="黑体" w:hAnsi="黑体" w:eastAsia="黑体" w:cs="宋体"/>
                <w:b w:val="0"/>
                <w:color w:val="auto"/>
                <w:spacing w:val="0"/>
                <w:sz w:val="21"/>
                <w:szCs w:val="24"/>
                <w:highlight w:val="none"/>
              </w:rPr>
            </w:pPr>
            <w:r>
              <w:rPr>
                <w:rFonts w:hint="eastAsia" w:ascii="黑体" w:hAnsi="黑体" w:eastAsia="黑体" w:cs="宋体"/>
                <w:b w:val="0"/>
                <w:color w:val="auto"/>
                <w:spacing w:val="0"/>
                <w:sz w:val="21"/>
                <w:szCs w:val="24"/>
                <w:highlight w:val="none"/>
              </w:rPr>
              <w:t>自评</w:t>
            </w:r>
          </w:p>
          <w:p w14:paraId="1CC297FD">
            <w:pPr>
              <w:jc w:val="center"/>
              <w:rPr>
                <w:rFonts w:ascii="黑体" w:hAnsi="黑体" w:eastAsia="黑体" w:cs="宋体"/>
                <w:b w:val="0"/>
                <w:color w:val="auto"/>
                <w:spacing w:val="0"/>
                <w:sz w:val="21"/>
                <w:szCs w:val="24"/>
                <w:highlight w:val="none"/>
              </w:rPr>
            </w:pPr>
            <w:r>
              <w:rPr>
                <w:rFonts w:hint="eastAsia" w:ascii="黑体" w:hAnsi="黑体" w:eastAsia="黑体" w:cs="宋体"/>
                <w:b w:val="0"/>
                <w:color w:val="auto"/>
                <w:spacing w:val="0"/>
                <w:sz w:val="21"/>
                <w:szCs w:val="24"/>
                <w:highlight w:val="none"/>
              </w:rPr>
              <w:t>得分</w:t>
            </w:r>
          </w:p>
        </w:tc>
      </w:tr>
      <w:tr w14:paraId="0939E33F">
        <w:tblPrEx>
          <w:tblCellMar>
            <w:top w:w="0" w:type="dxa"/>
            <w:left w:w="108" w:type="dxa"/>
            <w:bottom w:w="0" w:type="dxa"/>
            <w:right w:w="108" w:type="dxa"/>
          </w:tblCellMar>
        </w:tblPrEx>
        <w:trPr>
          <w:trHeight w:val="2869" w:hRule="atLeast"/>
          <w:jc w:val="center"/>
        </w:trPr>
        <w:tc>
          <w:tcPr>
            <w:tcW w:w="345" w:type="pct"/>
            <w:vMerge w:val="restart"/>
            <w:tcBorders>
              <w:top w:val="single" w:color="auto" w:sz="4" w:space="0"/>
              <w:left w:val="single" w:color="auto" w:sz="4" w:space="0"/>
              <w:right w:val="single" w:color="auto" w:sz="4" w:space="0"/>
            </w:tcBorders>
            <w:shd w:val="clear" w:color="auto" w:fill="auto"/>
            <w:vAlign w:val="center"/>
          </w:tcPr>
          <w:p w14:paraId="5C390DBB">
            <w:pPr>
              <w:widowControl/>
              <w:spacing w:line="240" w:lineRule="exact"/>
              <w:jc w:val="center"/>
              <w:rPr>
                <w:rFonts w:ascii="楷体_GB2312" w:eastAsia="楷体_GB2312" w:cs="宋体"/>
                <w:b w:val="0"/>
                <w:color w:val="auto"/>
                <w:spacing w:val="0"/>
                <w:sz w:val="24"/>
                <w:szCs w:val="24"/>
                <w:highlight w:val="none"/>
              </w:rPr>
            </w:pPr>
            <w:r>
              <w:rPr>
                <w:rFonts w:hint="eastAsia" w:ascii="楷体_GB2312" w:eastAsia="楷体_GB2312" w:cs="宋体"/>
                <w:b w:val="0"/>
                <w:color w:val="auto"/>
                <w:spacing w:val="0"/>
                <w:sz w:val="24"/>
                <w:szCs w:val="24"/>
                <w:highlight w:val="none"/>
              </w:rPr>
              <w:t>评价项目</w:t>
            </w:r>
          </w:p>
        </w:tc>
        <w:tc>
          <w:tcPr>
            <w:tcW w:w="378" w:type="pct"/>
            <w:tcBorders>
              <w:top w:val="single" w:color="auto" w:sz="4" w:space="0"/>
              <w:left w:val="single" w:color="auto" w:sz="4" w:space="0"/>
              <w:bottom w:val="single" w:color="000000" w:sz="4" w:space="0"/>
              <w:right w:val="single" w:color="auto" w:sz="4" w:space="0"/>
            </w:tcBorders>
            <w:shd w:val="clear" w:color="auto" w:fill="auto"/>
            <w:vAlign w:val="center"/>
          </w:tcPr>
          <w:p w14:paraId="23169F3C">
            <w:pPr>
              <w:widowControl/>
              <w:spacing w:line="240" w:lineRule="exact"/>
              <w:jc w:val="center"/>
              <w:rPr>
                <w:rFonts w:hint="eastAsia" w:ascii="楷体" w:hAnsi="楷体" w:eastAsia="楷体" w:cs="楷体"/>
                <w:b w:val="0"/>
                <w:color w:val="auto"/>
                <w:spacing w:val="0"/>
                <w:sz w:val="20"/>
                <w:szCs w:val="20"/>
                <w:highlight w:val="none"/>
              </w:rPr>
            </w:pPr>
            <w:r>
              <w:rPr>
                <w:rFonts w:hint="eastAsia" w:ascii="楷体" w:hAnsi="楷体" w:eastAsia="楷体" w:cs="楷体"/>
                <w:b w:val="0"/>
                <w:color w:val="auto"/>
                <w:spacing w:val="0"/>
                <w:sz w:val="20"/>
                <w:szCs w:val="20"/>
                <w:highlight w:val="none"/>
              </w:rPr>
              <w:t>专业层次</w:t>
            </w:r>
          </w:p>
          <w:p w14:paraId="73E70F6F">
            <w:pPr>
              <w:widowControl/>
              <w:spacing w:line="240" w:lineRule="exact"/>
              <w:jc w:val="distribute"/>
              <w:rPr>
                <w:rFonts w:hint="eastAsia" w:ascii="楷体" w:hAnsi="楷体" w:eastAsia="楷体" w:cs="楷体"/>
                <w:b w:val="0"/>
                <w:color w:val="auto"/>
                <w:spacing w:val="0"/>
                <w:sz w:val="24"/>
                <w:szCs w:val="24"/>
                <w:highlight w:val="none"/>
                <w:lang w:eastAsia="zh-CN"/>
              </w:rPr>
            </w:pPr>
          </w:p>
        </w:tc>
        <w:tc>
          <w:tcPr>
            <w:tcW w:w="3429" w:type="pct"/>
            <w:tcBorders>
              <w:top w:val="single" w:color="auto" w:sz="4" w:space="0"/>
              <w:left w:val="single" w:color="auto" w:sz="4" w:space="0"/>
              <w:right w:val="single" w:color="auto" w:sz="4" w:space="0"/>
            </w:tcBorders>
            <w:shd w:val="clear" w:color="auto" w:fill="auto"/>
            <w:vAlign w:val="center"/>
          </w:tcPr>
          <w:p w14:paraId="7B82E5BC">
            <w:pPr>
              <w:widowControl/>
              <w:rPr>
                <w:rFonts w:hint="eastAsia" w:asciiTheme="majorEastAsia" w:hAnsiTheme="majorEastAsia" w:eastAsiaTheme="majorEastAsia" w:cstheme="majorEastAsia"/>
                <w:b w:val="0"/>
                <w:color w:val="auto"/>
                <w:spacing w:val="-4"/>
                <w:sz w:val="16"/>
                <w:szCs w:val="16"/>
                <w:highlight w:val="none"/>
                <w:lang w:val="en-US" w:eastAsia="zh-CN"/>
              </w:rPr>
            </w:pPr>
            <w:r>
              <w:rPr>
                <w:rFonts w:hint="eastAsia" w:asciiTheme="majorEastAsia" w:hAnsiTheme="majorEastAsia" w:eastAsiaTheme="majorEastAsia" w:cstheme="majorEastAsia"/>
                <w:b w:val="0"/>
                <w:color w:val="auto"/>
                <w:spacing w:val="-4"/>
                <w:sz w:val="16"/>
                <w:szCs w:val="16"/>
                <w:highlight w:val="none"/>
                <w:lang w:val="en-US" w:eastAsia="zh-CN"/>
              </w:rPr>
              <w:t>学历学位俱全的“一流学科”建设高校本科毕业生得40分；</w:t>
            </w:r>
          </w:p>
          <w:p w14:paraId="06E620E7">
            <w:pPr>
              <w:widowControl/>
              <w:rPr>
                <w:rFonts w:hint="eastAsia" w:asciiTheme="majorEastAsia" w:hAnsiTheme="majorEastAsia" w:eastAsiaTheme="majorEastAsia" w:cstheme="majorEastAsia"/>
                <w:b w:val="0"/>
                <w:color w:val="auto"/>
                <w:spacing w:val="-4"/>
                <w:sz w:val="16"/>
                <w:szCs w:val="16"/>
                <w:highlight w:val="none"/>
                <w:lang w:val="en-US" w:eastAsia="zh-CN"/>
              </w:rPr>
            </w:pPr>
            <w:r>
              <w:rPr>
                <w:rFonts w:hint="eastAsia" w:asciiTheme="majorEastAsia" w:hAnsiTheme="majorEastAsia" w:eastAsiaTheme="majorEastAsia" w:cstheme="majorEastAsia"/>
                <w:b w:val="0"/>
                <w:color w:val="auto"/>
                <w:spacing w:val="-4"/>
                <w:sz w:val="16"/>
                <w:szCs w:val="16"/>
                <w:highlight w:val="none"/>
                <w:lang w:val="en-US" w:eastAsia="zh-CN"/>
              </w:rPr>
              <w:t>学历学位俱全的全日制硕士研究生（本科阶段要求为全日制本科）得45分；</w:t>
            </w:r>
          </w:p>
          <w:p w14:paraId="09555156">
            <w:pPr>
              <w:widowControl/>
              <w:rPr>
                <w:rFonts w:hint="eastAsia" w:asciiTheme="majorEastAsia" w:hAnsiTheme="majorEastAsia" w:eastAsiaTheme="majorEastAsia" w:cstheme="majorEastAsia"/>
                <w:b w:val="0"/>
                <w:color w:val="auto"/>
                <w:spacing w:val="-4"/>
                <w:sz w:val="16"/>
                <w:szCs w:val="16"/>
                <w:highlight w:val="none"/>
                <w:lang w:val="en-US" w:eastAsia="zh-CN"/>
              </w:rPr>
            </w:pPr>
            <w:r>
              <w:rPr>
                <w:rFonts w:hint="default" w:asciiTheme="majorEastAsia" w:hAnsiTheme="majorEastAsia" w:eastAsiaTheme="majorEastAsia" w:cstheme="majorEastAsia"/>
                <w:b w:val="0"/>
                <w:color w:val="auto"/>
                <w:spacing w:val="-4"/>
                <w:sz w:val="16"/>
                <w:szCs w:val="16"/>
                <w:highlight w:val="none"/>
                <w:lang w:val="en-US" w:eastAsia="zh-CN"/>
              </w:rPr>
              <w:t>留学归国的硕士研究生毕业院校限定为</w:t>
            </w:r>
            <w:r>
              <w:rPr>
                <w:rFonts w:hint="eastAsia" w:asciiTheme="majorEastAsia" w:hAnsiTheme="majorEastAsia" w:eastAsiaTheme="majorEastAsia" w:cstheme="majorEastAsia"/>
                <w:b w:val="0"/>
                <w:color w:val="auto"/>
                <w:spacing w:val="-4"/>
                <w:sz w:val="16"/>
                <w:szCs w:val="16"/>
                <w:highlight w:val="none"/>
                <w:lang w:val="en-US" w:eastAsia="zh-CN"/>
              </w:rPr>
              <w:t>2024年、2025年度世界大学综合排名前300名院校</w:t>
            </w:r>
            <w:r>
              <w:rPr>
                <w:rFonts w:hint="default" w:asciiTheme="majorEastAsia" w:hAnsiTheme="majorEastAsia" w:eastAsiaTheme="majorEastAsia" w:cstheme="majorEastAsia"/>
                <w:b w:val="0"/>
                <w:color w:val="auto"/>
                <w:spacing w:val="-4"/>
                <w:sz w:val="16"/>
                <w:szCs w:val="16"/>
                <w:highlight w:val="none"/>
                <w:lang w:val="en-US" w:eastAsia="zh-CN"/>
              </w:rPr>
              <w:t>，高等教育阶段起始学历须为全日制本科学历（不含专升本、自考、成教等）</w:t>
            </w:r>
            <w:r>
              <w:rPr>
                <w:rFonts w:hint="eastAsia" w:asciiTheme="majorEastAsia" w:hAnsiTheme="majorEastAsia" w:eastAsiaTheme="majorEastAsia" w:cstheme="majorEastAsia"/>
                <w:b w:val="0"/>
                <w:color w:val="auto"/>
                <w:spacing w:val="-4"/>
                <w:sz w:val="16"/>
                <w:szCs w:val="16"/>
                <w:highlight w:val="none"/>
                <w:lang w:val="en-US" w:eastAsia="zh-CN"/>
              </w:rPr>
              <w:t>45分；</w:t>
            </w:r>
          </w:p>
          <w:p w14:paraId="4FCF55C7">
            <w:pPr>
              <w:widowControl/>
              <w:rPr>
                <w:rFonts w:hint="default" w:asciiTheme="majorEastAsia" w:hAnsiTheme="majorEastAsia" w:eastAsiaTheme="majorEastAsia" w:cstheme="majorEastAsia"/>
                <w:b w:val="0"/>
                <w:color w:val="auto"/>
                <w:spacing w:val="-4"/>
                <w:sz w:val="16"/>
                <w:szCs w:val="16"/>
                <w:highlight w:val="none"/>
                <w:lang w:val="en-US" w:eastAsia="zh-CN"/>
              </w:rPr>
            </w:pPr>
            <w:r>
              <w:rPr>
                <w:rFonts w:hint="eastAsia" w:asciiTheme="majorEastAsia" w:hAnsiTheme="majorEastAsia" w:eastAsiaTheme="majorEastAsia" w:cstheme="majorEastAsia"/>
                <w:b w:val="0"/>
                <w:color w:val="auto"/>
                <w:spacing w:val="-4"/>
                <w:sz w:val="16"/>
                <w:szCs w:val="16"/>
                <w:highlight w:val="none"/>
                <w:lang w:val="en-US" w:eastAsia="zh-CN"/>
              </w:rPr>
              <w:t>学历学位俱全的“一流大学”或“一流学科”本科毕业生得45分；</w:t>
            </w:r>
          </w:p>
          <w:p w14:paraId="399B2F6A">
            <w:pPr>
              <w:widowControl/>
              <w:rPr>
                <w:rFonts w:hint="eastAsia" w:asciiTheme="majorEastAsia" w:hAnsiTheme="majorEastAsia" w:eastAsiaTheme="majorEastAsia" w:cstheme="majorEastAsia"/>
                <w:b w:val="0"/>
                <w:color w:val="auto"/>
                <w:spacing w:val="-4"/>
                <w:sz w:val="16"/>
                <w:szCs w:val="16"/>
                <w:highlight w:val="none"/>
                <w:lang w:val="en-US" w:eastAsia="zh-CN"/>
              </w:rPr>
            </w:pPr>
            <w:r>
              <w:rPr>
                <w:rFonts w:hint="eastAsia" w:asciiTheme="majorEastAsia" w:hAnsiTheme="majorEastAsia" w:eastAsiaTheme="majorEastAsia" w:cstheme="majorEastAsia"/>
                <w:b w:val="0"/>
                <w:color w:val="auto"/>
                <w:spacing w:val="-4"/>
                <w:sz w:val="16"/>
                <w:szCs w:val="16"/>
                <w:highlight w:val="none"/>
                <w:lang w:val="en-US" w:eastAsia="zh-CN"/>
              </w:rPr>
              <w:t>学历学位俱全的“一流学科”建设高校研究生得50分；</w:t>
            </w:r>
          </w:p>
          <w:p w14:paraId="0CE6AEBF">
            <w:pPr>
              <w:widowControl/>
              <w:rPr>
                <w:rFonts w:hint="default" w:asciiTheme="majorEastAsia" w:hAnsiTheme="majorEastAsia" w:eastAsiaTheme="majorEastAsia" w:cstheme="majorEastAsia"/>
                <w:b w:val="0"/>
                <w:color w:val="auto"/>
                <w:spacing w:val="-4"/>
                <w:sz w:val="18"/>
                <w:szCs w:val="18"/>
                <w:highlight w:val="none"/>
                <w:lang w:val="en-US" w:eastAsia="zh-CN"/>
              </w:rPr>
            </w:pPr>
            <w:r>
              <w:rPr>
                <w:rFonts w:hint="eastAsia" w:asciiTheme="majorEastAsia" w:hAnsiTheme="majorEastAsia" w:eastAsiaTheme="majorEastAsia" w:cstheme="majorEastAsia"/>
                <w:b w:val="0"/>
                <w:color w:val="auto"/>
                <w:spacing w:val="-4"/>
                <w:sz w:val="16"/>
                <w:szCs w:val="16"/>
                <w:highlight w:val="none"/>
                <w:lang w:val="en-US" w:eastAsia="zh-CN"/>
              </w:rPr>
              <w:t>学历学位俱全的“一流大学”或“一流学科”研究生得60分。</w:t>
            </w:r>
          </w:p>
        </w:tc>
        <w:tc>
          <w:tcPr>
            <w:tcW w:w="252" w:type="pct"/>
            <w:tcBorders>
              <w:top w:val="nil"/>
              <w:left w:val="single" w:color="auto" w:sz="4" w:space="0"/>
              <w:right w:val="single" w:color="auto" w:sz="4" w:space="0"/>
            </w:tcBorders>
            <w:shd w:val="clear" w:color="auto" w:fill="auto"/>
            <w:vAlign w:val="center"/>
          </w:tcPr>
          <w:p w14:paraId="76EF434E">
            <w:pPr>
              <w:widowControl/>
              <w:spacing w:line="240" w:lineRule="exact"/>
              <w:jc w:val="center"/>
              <w:rPr>
                <w:rFonts w:hint="default" w:cs="宋体"/>
                <w:b w:val="0"/>
                <w:color w:val="auto"/>
                <w:spacing w:val="0"/>
                <w:sz w:val="24"/>
                <w:szCs w:val="24"/>
                <w:highlight w:val="none"/>
                <w:lang w:val="en-US"/>
              </w:rPr>
            </w:pPr>
            <w:r>
              <w:rPr>
                <w:rFonts w:hint="eastAsia" w:cs="宋体"/>
                <w:b w:val="0"/>
                <w:color w:val="auto"/>
                <w:spacing w:val="0"/>
                <w:sz w:val="24"/>
                <w:szCs w:val="24"/>
                <w:highlight w:val="none"/>
                <w:lang w:val="en-US" w:eastAsia="zh-CN"/>
              </w:rPr>
              <w:t>60</w:t>
            </w:r>
          </w:p>
        </w:tc>
        <w:tc>
          <w:tcPr>
            <w:tcW w:w="352" w:type="pct"/>
            <w:tcBorders>
              <w:top w:val="nil"/>
              <w:left w:val="nil"/>
              <w:right w:val="single" w:color="auto" w:sz="4" w:space="0"/>
            </w:tcBorders>
            <w:shd w:val="clear" w:color="auto" w:fill="auto"/>
            <w:vAlign w:val="center"/>
          </w:tcPr>
          <w:p w14:paraId="26A4512F">
            <w:pPr>
              <w:widowControl/>
              <w:spacing w:line="240" w:lineRule="exact"/>
              <w:jc w:val="center"/>
              <w:rPr>
                <w:rFonts w:cs="宋体"/>
                <w:b w:val="0"/>
                <w:color w:val="auto"/>
                <w:spacing w:val="0"/>
                <w:sz w:val="21"/>
                <w:szCs w:val="21"/>
                <w:highlight w:val="none"/>
              </w:rPr>
            </w:pPr>
          </w:p>
        </w:tc>
        <w:tc>
          <w:tcPr>
            <w:tcW w:w="241" w:type="pct"/>
            <w:tcBorders>
              <w:top w:val="nil"/>
              <w:left w:val="nil"/>
              <w:bottom w:val="single" w:color="auto" w:sz="4" w:space="0"/>
              <w:right w:val="single" w:color="auto" w:sz="4" w:space="0"/>
            </w:tcBorders>
            <w:shd w:val="clear" w:color="auto" w:fill="auto"/>
            <w:vAlign w:val="center"/>
          </w:tcPr>
          <w:p w14:paraId="52EB696B">
            <w:pPr>
              <w:widowControl/>
              <w:spacing w:line="240" w:lineRule="exact"/>
              <w:jc w:val="center"/>
              <w:rPr>
                <w:rFonts w:cs="宋体"/>
                <w:b w:val="0"/>
                <w:color w:val="auto"/>
                <w:spacing w:val="0"/>
                <w:sz w:val="21"/>
                <w:szCs w:val="21"/>
                <w:highlight w:val="none"/>
              </w:rPr>
            </w:pPr>
          </w:p>
        </w:tc>
      </w:tr>
      <w:tr w14:paraId="741ADA68">
        <w:tblPrEx>
          <w:tblCellMar>
            <w:top w:w="0" w:type="dxa"/>
            <w:left w:w="108" w:type="dxa"/>
            <w:bottom w:w="0" w:type="dxa"/>
            <w:right w:w="108" w:type="dxa"/>
          </w:tblCellMar>
        </w:tblPrEx>
        <w:trPr>
          <w:trHeight w:val="3280" w:hRule="atLeast"/>
          <w:jc w:val="center"/>
        </w:trPr>
        <w:tc>
          <w:tcPr>
            <w:tcW w:w="345" w:type="pct"/>
            <w:vMerge w:val="continue"/>
            <w:tcBorders>
              <w:left w:val="single" w:color="auto" w:sz="4" w:space="0"/>
              <w:right w:val="single" w:color="auto" w:sz="4" w:space="0"/>
            </w:tcBorders>
            <w:vAlign w:val="center"/>
          </w:tcPr>
          <w:p w14:paraId="28284EFC">
            <w:pPr>
              <w:widowControl/>
              <w:spacing w:line="240" w:lineRule="exact"/>
              <w:jc w:val="center"/>
              <w:rPr>
                <w:rFonts w:ascii="楷体_GB2312" w:eastAsia="楷体_GB2312" w:cs="宋体"/>
                <w:b w:val="0"/>
                <w:color w:val="auto"/>
                <w:spacing w:val="0"/>
                <w:sz w:val="24"/>
                <w:szCs w:val="24"/>
                <w:highlight w:val="none"/>
              </w:rPr>
            </w:pPr>
          </w:p>
        </w:tc>
        <w:tc>
          <w:tcPr>
            <w:tcW w:w="378" w:type="pct"/>
            <w:tcBorders>
              <w:top w:val="single" w:color="auto" w:sz="4" w:space="0"/>
              <w:left w:val="nil"/>
              <w:bottom w:val="single" w:color="auto" w:sz="4" w:space="0"/>
              <w:right w:val="single" w:color="auto" w:sz="4" w:space="0"/>
            </w:tcBorders>
            <w:shd w:val="clear" w:color="auto" w:fill="auto"/>
            <w:vAlign w:val="center"/>
          </w:tcPr>
          <w:p w14:paraId="30556B6A">
            <w:pPr>
              <w:widowControl/>
              <w:spacing w:line="240" w:lineRule="exact"/>
              <w:jc w:val="center"/>
              <w:rPr>
                <w:rFonts w:ascii="楷体" w:hAnsi="楷体" w:eastAsia="楷体" w:cs="楷体"/>
                <w:b w:val="0"/>
                <w:color w:val="auto"/>
                <w:spacing w:val="0"/>
                <w:sz w:val="24"/>
                <w:szCs w:val="24"/>
                <w:highlight w:val="none"/>
              </w:rPr>
            </w:pPr>
            <w:r>
              <w:rPr>
                <w:rFonts w:hint="eastAsia" w:ascii="楷体" w:hAnsi="楷体" w:eastAsia="楷体" w:cs="楷体"/>
                <w:b w:val="0"/>
                <w:color w:val="auto"/>
                <w:spacing w:val="0"/>
                <w:sz w:val="20"/>
                <w:szCs w:val="20"/>
                <w:highlight w:val="none"/>
              </w:rPr>
              <w:t>科研成果</w:t>
            </w:r>
          </w:p>
        </w:tc>
        <w:tc>
          <w:tcPr>
            <w:tcW w:w="3429" w:type="pct"/>
            <w:tcBorders>
              <w:top w:val="single" w:color="auto" w:sz="4" w:space="0"/>
              <w:left w:val="nil"/>
              <w:bottom w:val="single" w:color="auto" w:sz="4" w:space="0"/>
              <w:right w:val="single" w:color="auto" w:sz="4" w:space="0"/>
            </w:tcBorders>
            <w:shd w:val="clear" w:color="auto" w:fill="auto"/>
            <w:vAlign w:val="center"/>
          </w:tcPr>
          <w:p w14:paraId="225A4AE7">
            <w:pPr>
              <w:widowControl/>
              <w:rPr>
                <w:rFonts w:asciiTheme="majorEastAsia" w:hAnsiTheme="majorEastAsia" w:eastAsiaTheme="majorEastAsia" w:cstheme="majorEastAsia"/>
                <w:b w:val="0"/>
                <w:color w:val="auto"/>
                <w:spacing w:val="-4"/>
                <w:sz w:val="16"/>
                <w:szCs w:val="16"/>
                <w:highlight w:val="none"/>
              </w:rPr>
            </w:pPr>
            <w:r>
              <w:rPr>
                <w:rFonts w:hint="eastAsia" w:asciiTheme="majorEastAsia" w:hAnsiTheme="majorEastAsia" w:eastAsiaTheme="majorEastAsia" w:cstheme="majorEastAsia"/>
                <w:b w:val="0"/>
                <w:color w:val="auto"/>
                <w:spacing w:val="-4"/>
                <w:sz w:val="16"/>
                <w:szCs w:val="16"/>
                <w:highlight w:val="none"/>
              </w:rPr>
              <w:t>1. SCI、SSCI一区检索的本学科学术期刊论文，每篇得15分（第一作者，不含并列第一作者）；</w:t>
            </w:r>
          </w:p>
          <w:p w14:paraId="28D46233">
            <w:pPr>
              <w:widowControl/>
              <w:rPr>
                <w:rFonts w:asciiTheme="majorEastAsia" w:hAnsiTheme="majorEastAsia" w:eastAsiaTheme="majorEastAsia" w:cstheme="majorEastAsia"/>
                <w:b w:val="0"/>
                <w:color w:val="auto"/>
                <w:spacing w:val="-4"/>
                <w:sz w:val="16"/>
                <w:szCs w:val="16"/>
                <w:highlight w:val="none"/>
              </w:rPr>
            </w:pPr>
            <w:r>
              <w:rPr>
                <w:rFonts w:hint="eastAsia" w:asciiTheme="majorEastAsia" w:hAnsiTheme="majorEastAsia" w:eastAsiaTheme="majorEastAsia" w:cstheme="majorEastAsia"/>
                <w:b w:val="0"/>
                <w:color w:val="auto"/>
                <w:spacing w:val="-4"/>
                <w:sz w:val="16"/>
                <w:szCs w:val="16"/>
                <w:highlight w:val="none"/>
              </w:rPr>
              <w:t>2. SCI、SSCI一区检索（并列第一作者）或SCI、SSCI二区检索的本学科学术期刊论文（第一作者，不含并列第一作者），每篇得10分；</w:t>
            </w:r>
          </w:p>
          <w:p w14:paraId="3BEC1B15">
            <w:pPr>
              <w:widowControl/>
              <w:rPr>
                <w:rFonts w:asciiTheme="majorEastAsia" w:hAnsiTheme="majorEastAsia" w:eastAsiaTheme="majorEastAsia" w:cstheme="majorEastAsia"/>
                <w:b w:val="0"/>
                <w:color w:val="auto"/>
                <w:spacing w:val="-4"/>
                <w:sz w:val="16"/>
                <w:szCs w:val="16"/>
                <w:highlight w:val="none"/>
              </w:rPr>
            </w:pPr>
            <w:r>
              <w:rPr>
                <w:rFonts w:hint="eastAsia" w:asciiTheme="majorEastAsia" w:hAnsiTheme="majorEastAsia" w:eastAsiaTheme="majorEastAsia" w:cstheme="majorEastAsia"/>
                <w:b w:val="0"/>
                <w:color w:val="auto"/>
                <w:spacing w:val="-4"/>
                <w:sz w:val="16"/>
                <w:szCs w:val="16"/>
                <w:highlight w:val="none"/>
              </w:rPr>
              <w:t>3. SCI、SSCI二区检索（并列第一作者）或SCI、SSCI三区检索的本学科学术期刊论文（第一作者，不含并列第一作者），每篇得5分；</w:t>
            </w:r>
          </w:p>
          <w:p w14:paraId="766F9C41">
            <w:pPr>
              <w:widowControl/>
              <w:rPr>
                <w:rFonts w:hint="eastAsia" w:asciiTheme="majorEastAsia" w:hAnsiTheme="majorEastAsia" w:eastAsiaTheme="majorEastAsia" w:cstheme="majorEastAsia"/>
                <w:b/>
                <w:bCs/>
                <w:color w:val="auto"/>
                <w:spacing w:val="-4"/>
                <w:sz w:val="16"/>
                <w:szCs w:val="16"/>
                <w:highlight w:val="none"/>
              </w:rPr>
            </w:pPr>
            <w:r>
              <w:rPr>
                <w:rFonts w:hint="eastAsia" w:asciiTheme="majorEastAsia" w:hAnsiTheme="majorEastAsia" w:eastAsiaTheme="majorEastAsia" w:cstheme="majorEastAsia"/>
                <w:b w:val="0"/>
                <w:color w:val="auto"/>
                <w:spacing w:val="-4"/>
                <w:sz w:val="16"/>
                <w:szCs w:val="16"/>
                <w:highlight w:val="none"/>
              </w:rPr>
              <w:t>4. SCI、SSCI三区检索（并列第一作者）或SCI、SSCI四区检索（第一作者，不含并列第一作者）或EI检索的本学科学术期刊论文（第一作者，不含并列第一作者），每篇得2分。</w:t>
            </w:r>
            <w:r>
              <w:rPr>
                <w:rFonts w:hint="eastAsia" w:asciiTheme="majorEastAsia" w:hAnsiTheme="majorEastAsia" w:eastAsiaTheme="majorEastAsia" w:cstheme="majorEastAsia"/>
                <w:b/>
                <w:bCs/>
                <w:color w:val="auto"/>
                <w:spacing w:val="-4"/>
                <w:sz w:val="16"/>
                <w:szCs w:val="16"/>
                <w:highlight w:val="none"/>
              </w:rPr>
              <w:t>SCI、SSCI分区以中科院年度分区为准。</w:t>
            </w:r>
          </w:p>
          <w:p w14:paraId="77BC1210">
            <w:pPr>
              <w:widowControl/>
              <w:numPr>
                <w:ilvl w:val="0"/>
                <w:numId w:val="0"/>
              </w:numPr>
              <w:spacing w:line="120" w:lineRule="auto"/>
              <w:ind w:leftChars="0"/>
              <w:rPr>
                <w:rFonts w:hint="eastAsia" w:asciiTheme="majorEastAsia" w:hAnsiTheme="majorEastAsia" w:eastAsiaTheme="majorEastAsia" w:cstheme="majorEastAsia"/>
                <w:b w:val="0"/>
                <w:color w:val="auto"/>
                <w:spacing w:val="-4"/>
                <w:sz w:val="16"/>
                <w:szCs w:val="16"/>
                <w:highlight w:val="none"/>
              </w:rPr>
            </w:pPr>
            <w:r>
              <w:rPr>
                <w:rFonts w:hint="eastAsia" w:asciiTheme="majorEastAsia" w:hAnsiTheme="majorEastAsia" w:eastAsiaTheme="majorEastAsia" w:cstheme="majorEastAsia"/>
                <w:b w:val="0"/>
                <w:color w:val="auto"/>
                <w:spacing w:val="-4"/>
                <w:sz w:val="16"/>
                <w:szCs w:val="16"/>
                <w:highlight w:val="none"/>
              </w:rPr>
              <w:t>5.作为第一发明人发表发明专利，每项得10分。</w:t>
            </w:r>
          </w:p>
          <w:p w14:paraId="0D3061B7">
            <w:pPr>
              <w:widowControl/>
              <w:numPr>
                <w:ilvl w:val="0"/>
                <w:numId w:val="0"/>
              </w:numPr>
              <w:spacing w:line="120" w:lineRule="auto"/>
              <w:ind w:leftChars="0"/>
              <w:rPr>
                <w:rFonts w:asciiTheme="minorEastAsia" w:hAnsiTheme="minorEastAsia" w:eastAsiaTheme="minorEastAsia" w:cstheme="minorEastAsia"/>
                <w:b w:val="0"/>
                <w:color w:val="auto"/>
                <w:spacing w:val="-4"/>
                <w:sz w:val="18"/>
                <w:szCs w:val="18"/>
                <w:highlight w:val="none"/>
              </w:rPr>
            </w:pPr>
            <w:r>
              <w:rPr>
                <w:rFonts w:hint="eastAsia" w:asciiTheme="majorEastAsia" w:hAnsiTheme="majorEastAsia" w:eastAsiaTheme="majorEastAsia" w:cstheme="majorEastAsia"/>
                <w:b w:val="0"/>
                <w:color w:val="auto"/>
                <w:spacing w:val="-4"/>
                <w:sz w:val="16"/>
                <w:szCs w:val="16"/>
                <w:highlight w:val="none"/>
                <w:lang w:val="en-US" w:eastAsia="zh-CN"/>
              </w:rPr>
              <w:t>6.</w:t>
            </w:r>
            <w:r>
              <w:rPr>
                <w:rFonts w:hint="eastAsia" w:asciiTheme="majorEastAsia" w:hAnsiTheme="majorEastAsia" w:eastAsiaTheme="majorEastAsia" w:cstheme="majorEastAsia"/>
                <w:b w:val="0"/>
                <w:color w:val="auto"/>
                <w:spacing w:val="-4"/>
                <w:sz w:val="16"/>
                <w:szCs w:val="16"/>
                <w:highlight w:val="none"/>
              </w:rPr>
              <w:t>各项累加不超过20分。</w:t>
            </w:r>
          </w:p>
        </w:tc>
        <w:tc>
          <w:tcPr>
            <w:tcW w:w="252" w:type="pct"/>
            <w:tcBorders>
              <w:top w:val="single" w:color="auto" w:sz="4" w:space="0"/>
              <w:left w:val="nil"/>
              <w:bottom w:val="single" w:color="auto" w:sz="4" w:space="0"/>
              <w:right w:val="single" w:color="auto" w:sz="4" w:space="0"/>
            </w:tcBorders>
            <w:shd w:val="clear" w:color="auto" w:fill="auto"/>
            <w:vAlign w:val="center"/>
          </w:tcPr>
          <w:p w14:paraId="60B0C358">
            <w:pPr>
              <w:widowControl/>
              <w:spacing w:line="240" w:lineRule="exact"/>
              <w:jc w:val="center"/>
              <w:rPr>
                <w:rFonts w:hint="default" w:eastAsia="宋体" w:cs="宋体"/>
                <w:b w:val="0"/>
                <w:color w:val="auto"/>
                <w:spacing w:val="0"/>
                <w:sz w:val="24"/>
                <w:szCs w:val="24"/>
                <w:highlight w:val="none"/>
                <w:lang w:val="en-US" w:eastAsia="zh-CN"/>
              </w:rPr>
            </w:pPr>
            <w:r>
              <w:rPr>
                <w:rFonts w:hint="eastAsia" w:cs="宋体"/>
                <w:b w:val="0"/>
                <w:color w:val="auto"/>
                <w:spacing w:val="0"/>
                <w:sz w:val="24"/>
                <w:szCs w:val="24"/>
                <w:highlight w:val="none"/>
                <w:lang w:val="en-US" w:eastAsia="zh-CN"/>
              </w:rPr>
              <w:t>20</w:t>
            </w:r>
          </w:p>
        </w:tc>
        <w:tc>
          <w:tcPr>
            <w:tcW w:w="352" w:type="pct"/>
            <w:tcBorders>
              <w:top w:val="single" w:color="auto" w:sz="4" w:space="0"/>
              <w:left w:val="nil"/>
              <w:bottom w:val="single" w:color="auto" w:sz="4" w:space="0"/>
              <w:right w:val="single" w:color="auto" w:sz="4" w:space="0"/>
            </w:tcBorders>
            <w:shd w:val="clear" w:color="auto" w:fill="auto"/>
            <w:vAlign w:val="center"/>
          </w:tcPr>
          <w:p w14:paraId="2D1BC46E">
            <w:pPr>
              <w:widowControl/>
              <w:spacing w:line="240" w:lineRule="exact"/>
              <w:jc w:val="center"/>
              <w:rPr>
                <w:rFonts w:cs="宋体"/>
                <w:b w:val="0"/>
                <w:color w:val="auto"/>
                <w:spacing w:val="0"/>
                <w:sz w:val="21"/>
                <w:szCs w:val="21"/>
                <w:highlight w:val="none"/>
              </w:rPr>
            </w:pPr>
          </w:p>
        </w:tc>
        <w:tc>
          <w:tcPr>
            <w:tcW w:w="241" w:type="pct"/>
            <w:tcBorders>
              <w:top w:val="single" w:color="auto" w:sz="4" w:space="0"/>
              <w:left w:val="nil"/>
              <w:bottom w:val="single" w:color="auto" w:sz="4" w:space="0"/>
              <w:right w:val="single" w:color="auto" w:sz="4" w:space="0"/>
            </w:tcBorders>
            <w:shd w:val="clear" w:color="auto" w:fill="auto"/>
            <w:vAlign w:val="center"/>
          </w:tcPr>
          <w:p w14:paraId="197E35B8">
            <w:pPr>
              <w:widowControl/>
              <w:spacing w:line="240" w:lineRule="exact"/>
              <w:jc w:val="center"/>
              <w:rPr>
                <w:rFonts w:cs="宋体"/>
                <w:b w:val="0"/>
                <w:color w:val="auto"/>
                <w:spacing w:val="0"/>
                <w:sz w:val="21"/>
                <w:szCs w:val="21"/>
                <w:highlight w:val="none"/>
              </w:rPr>
            </w:pPr>
          </w:p>
        </w:tc>
      </w:tr>
      <w:tr w14:paraId="5014D71A">
        <w:tblPrEx>
          <w:tblCellMar>
            <w:top w:w="0" w:type="dxa"/>
            <w:left w:w="108" w:type="dxa"/>
            <w:bottom w:w="0" w:type="dxa"/>
            <w:right w:w="108" w:type="dxa"/>
          </w:tblCellMar>
        </w:tblPrEx>
        <w:trPr>
          <w:trHeight w:val="1757" w:hRule="atLeast"/>
          <w:jc w:val="center"/>
        </w:trPr>
        <w:tc>
          <w:tcPr>
            <w:tcW w:w="345" w:type="pct"/>
            <w:vMerge w:val="continue"/>
            <w:tcBorders>
              <w:left w:val="single" w:color="auto" w:sz="4" w:space="0"/>
              <w:right w:val="single" w:color="auto" w:sz="4" w:space="0"/>
            </w:tcBorders>
            <w:vAlign w:val="center"/>
          </w:tcPr>
          <w:p w14:paraId="3B0E82AF">
            <w:pPr>
              <w:widowControl/>
              <w:spacing w:line="240" w:lineRule="exact"/>
              <w:jc w:val="center"/>
              <w:rPr>
                <w:rFonts w:ascii="楷体_GB2312" w:eastAsia="楷体_GB2312" w:cs="宋体"/>
                <w:b w:val="0"/>
                <w:color w:val="auto"/>
                <w:spacing w:val="0"/>
                <w:sz w:val="24"/>
                <w:szCs w:val="24"/>
                <w:highlight w:val="none"/>
              </w:rPr>
            </w:pPr>
          </w:p>
        </w:tc>
        <w:tc>
          <w:tcPr>
            <w:tcW w:w="378" w:type="pct"/>
            <w:tcBorders>
              <w:top w:val="single" w:color="auto" w:sz="4" w:space="0"/>
              <w:left w:val="single" w:color="auto" w:sz="4" w:space="0"/>
              <w:right w:val="single" w:color="auto" w:sz="4" w:space="0"/>
            </w:tcBorders>
            <w:shd w:val="clear" w:color="auto" w:fill="auto"/>
            <w:vAlign w:val="center"/>
          </w:tcPr>
          <w:p w14:paraId="5AEF4034">
            <w:pPr>
              <w:widowControl/>
              <w:spacing w:line="240" w:lineRule="exact"/>
              <w:jc w:val="center"/>
              <w:rPr>
                <w:rFonts w:hint="eastAsia" w:ascii="楷体" w:hAnsi="楷体" w:eastAsia="楷体" w:cs="楷体"/>
                <w:b w:val="0"/>
                <w:color w:val="auto"/>
                <w:spacing w:val="0"/>
                <w:sz w:val="24"/>
                <w:szCs w:val="24"/>
                <w:highlight w:val="none"/>
              </w:rPr>
            </w:pPr>
            <w:r>
              <w:rPr>
                <w:rFonts w:hint="eastAsia" w:ascii="楷体" w:hAnsi="楷体" w:eastAsia="楷体" w:cs="楷体"/>
                <w:b w:val="0"/>
                <w:color w:val="auto"/>
                <w:spacing w:val="0"/>
                <w:sz w:val="20"/>
                <w:szCs w:val="20"/>
                <w:highlight w:val="none"/>
              </w:rPr>
              <w:t>职业资格</w:t>
            </w:r>
          </w:p>
        </w:tc>
        <w:tc>
          <w:tcPr>
            <w:tcW w:w="3429" w:type="pct"/>
            <w:tcBorders>
              <w:top w:val="single" w:color="auto" w:sz="4" w:space="0"/>
              <w:left w:val="single" w:color="auto" w:sz="4" w:space="0"/>
              <w:right w:val="single" w:color="auto" w:sz="4" w:space="0"/>
            </w:tcBorders>
            <w:shd w:val="clear" w:color="auto" w:fill="auto"/>
            <w:vAlign w:val="center"/>
          </w:tcPr>
          <w:p w14:paraId="58BB8405">
            <w:pPr>
              <w:widowControl/>
              <w:numPr>
                <w:ilvl w:val="0"/>
                <w:numId w:val="0"/>
              </w:numPr>
              <w:spacing w:line="120" w:lineRule="auto"/>
              <w:rPr>
                <w:rFonts w:hint="eastAsia" w:asciiTheme="majorEastAsia" w:hAnsiTheme="majorEastAsia" w:eastAsiaTheme="majorEastAsia" w:cstheme="majorEastAsia"/>
                <w:b w:val="0"/>
                <w:color w:val="auto"/>
                <w:spacing w:val="0"/>
                <w:sz w:val="16"/>
                <w:szCs w:val="16"/>
                <w:highlight w:val="none"/>
                <w:lang w:eastAsia="zh-CN"/>
              </w:rPr>
            </w:pPr>
            <w:r>
              <w:rPr>
                <w:rFonts w:hint="eastAsia" w:asciiTheme="majorEastAsia" w:hAnsiTheme="majorEastAsia" w:eastAsiaTheme="majorEastAsia" w:cstheme="majorEastAsia"/>
                <w:b w:val="0"/>
                <w:color w:val="auto"/>
                <w:spacing w:val="0"/>
                <w:sz w:val="16"/>
                <w:szCs w:val="16"/>
                <w:highlight w:val="none"/>
                <w:lang w:val="en-US" w:eastAsia="zh-CN"/>
              </w:rPr>
              <w:t>1.</w:t>
            </w:r>
            <w:r>
              <w:rPr>
                <w:rFonts w:hint="eastAsia" w:asciiTheme="majorEastAsia" w:hAnsiTheme="majorEastAsia" w:eastAsiaTheme="majorEastAsia" w:cstheme="majorEastAsia"/>
                <w:b w:val="0"/>
                <w:color w:val="auto"/>
                <w:spacing w:val="0"/>
                <w:sz w:val="16"/>
                <w:szCs w:val="16"/>
                <w:highlight w:val="none"/>
              </w:rPr>
              <w:t>取得副高级及以上水平评价类专业技术人员职业资格</w:t>
            </w:r>
            <w:r>
              <w:rPr>
                <w:rFonts w:hint="eastAsia" w:asciiTheme="majorEastAsia" w:hAnsiTheme="majorEastAsia" w:eastAsiaTheme="majorEastAsia" w:cstheme="majorEastAsia"/>
                <w:b w:val="0"/>
                <w:color w:val="auto"/>
                <w:spacing w:val="-4"/>
                <w:sz w:val="16"/>
                <w:szCs w:val="16"/>
                <w:highlight w:val="none"/>
              </w:rPr>
              <w:t>的得</w:t>
            </w:r>
            <w:r>
              <w:rPr>
                <w:rFonts w:hint="eastAsia" w:asciiTheme="majorEastAsia" w:hAnsiTheme="majorEastAsia" w:eastAsiaTheme="majorEastAsia" w:cstheme="majorEastAsia"/>
                <w:b w:val="0"/>
                <w:color w:val="auto"/>
                <w:spacing w:val="-4"/>
                <w:sz w:val="16"/>
                <w:szCs w:val="16"/>
                <w:highlight w:val="none"/>
                <w:lang w:val="en-US" w:eastAsia="zh-CN"/>
              </w:rPr>
              <w:t>5</w:t>
            </w:r>
            <w:r>
              <w:rPr>
                <w:rFonts w:hint="eastAsia" w:asciiTheme="majorEastAsia" w:hAnsiTheme="majorEastAsia" w:eastAsiaTheme="majorEastAsia" w:cstheme="majorEastAsia"/>
                <w:b w:val="0"/>
                <w:color w:val="auto"/>
                <w:spacing w:val="-4"/>
                <w:sz w:val="16"/>
                <w:szCs w:val="16"/>
                <w:highlight w:val="none"/>
              </w:rPr>
              <w:t>分，</w:t>
            </w:r>
            <w:r>
              <w:rPr>
                <w:rFonts w:hint="eastAsia" w:asciiTheme="majorEastAsia" w:hAnsiTheme="majorEastAsia" w:eastAsiaTheme="majorEastAsia" w:cstheme="majorEastAsia"/>
                <w:b w:val="0"/>
                <w:color w:val="auto"/>
                <w:spacing w:val="0"/>
                <w:sz w:val="16"/>
                <w:szCs w:val="16"/>
                <w:highlight w:val="none"/>
              </w:rPr>
              <w:t>取得可对应至中级职称的专业技术人员职业资格得</w:t>
            </w:r>
            <w:r>
              <w:rPr>
                <w:rFonts w:hint="eastAsia" w:asciiTheme="majorEastAsia" w:hAnsiTheme="majorEastAsia" w:eastAsiaTheme="majorEastAsia" w:cstheme="majorEastAsia"/>
                <w:b w:val="0"/>
                <w:color w:val="auto"/>
                <w:spacing w:val="0"/>
                <w:sz w:val="16"/>
                <w:szCs w:val="16"/>
                <w:highlight w:val="none"/>
                <w:lang w:val="en-US" w:eastAsia="zh-CN"/>
              </w:rPr>
              <w:t>3</w:t>
            </w:r>
            <w:r>
              <w:rPr>
                <w:rFonts w:hint="eastAsia" w:asciiTheme="majorEastAsia" w:hAnsiTheme="majorEastAsia" w:eastAsiaTheme="majorEastAsia" w:cstheme="majorEastAsia"/>
                <w:b w:val="0"/>
                <w:color w:val="auto"/>
                <w:spacing w:val="0"/>
                <w:sz w:val="16"/>
                <w:szCs w:val="16"/>
                <w:highlight w:val="none"/>
              </w:rPr>
              <w:t>分，在可按照级别划分的准入类专业技术人员职业资格中取得最高级别职业资格的得5分</w:t>
            </w:r>
            <w:r>
              <w:rPr>
                <w:rFonts w:hint="eastAsia" w:asciiTheme="majorEastAsia" w:hAnsiTheme="majorEastAsia" w:eastAsiaTheme="majorEastAsia" w:cstheme="majorEastAsia"/>
                <w:b w:val="0"/>
                <w:color w:val="auto"/>
                <w:spacing w:val="0"/>
                <w:sz w:val="16"/>
                <w:szCs w:val="16"/>
                <w:highlight w:val="none"/>
                <w:lang w:eastAsia="zh-CN"/>
              </w:rPr>
              <w:t>。</w:t>
            </w:r>
          </w:p>
          <w:p w14:paraId="3339D56B">
            <w:pPr>
              <w:widowControl/>
              <w:numPr>
                <w:ilvl w:val="0"/>
                <w:numId w:val="0"/>
              </w:numPr>
              <w:spacing w:line="120" w:lineRule="auto"/>
              <w:ind w:leftChars="0"/>
              <w:rPr>
                <w:rFonts w:hint="default" w:asciiTheme="majorEastAsia" w:hAnsiTheme="majorEastAsia" w:eastAsiaTheme="majorEastAsia" w:cstheme="majorEastAsia"/>
                <w:b w:val="0"/>
                <w:color w:val="auto"/>
                <w:spacing w:val="-4"/>
                <w:sz w:val="18"/>
                <w:szCs w:val="18"/>
                <w:highlight w:val="none"/>
                <w:lang w:val="en-US" w:eastAsia="zh-CN"/>
              </w:rPr>
            </w:pPr>
            <w:r>
              <w:rPr>
                <w:rFonts w:hint="eastAsia" w:asciiTheme="majorEastAsia" w:hAnsiTheme="majorEastAsia" w:eastAsiaTheme="majorEastAsia" w:cstheme="majorEastAsia"/>
                <w:b w:val="0"/>
                <w:color w:val="auto"/>
                <w:spacing w:val="0"/>
                <w:sz w:val="16"/>
                <w:szCs w:val="16"/>
                <w:highlight w:val="none"/>
                <w:lang w:val="en-US" w:eastAsia="zh-CN"/>
              </w:rPr>
              <w:t>2.</w:t>
            </w:r>
            <w:r>
              <w:rPr>
                <w:rFonts w:hint="eastAsia" w:asciiTheme="majorEastAsia" w:hAnsiTheme="majorEastAsia" w:eastAsiaTheme="majorEastAsia" w:cstheme="majorEastAsia"/>
                <w:b w:val="0"/>
                <w:color w:val="auto"/>
                <w:spacing w:val="-4"/>
                <w:sz w:val="16"/>
                <w:szCs w:val="16"/>
                <w:highlight w:val="none"/>
              </w:rPr>
              <w:t>各项累加不超过</w:t>
            </w:r>
            <w:r>
              <w:rPr>
                <w:rFonts w:hint="eastAsia" w:asciiTheme="majorEastAsia" w:hAnsiTheme="majorEastAsia" w:eastAsiaTheme="majorEastAsia" w:cstheme="majorEastAsia"/>
                <w:b w:val="0"/>
                <w:color w:val="auto"/>
                <w:spacing w:val="-4"/>
                <w:sz w:val="16"/>
                <w:szCs w:val="16"/>
                <w:highlight w:val="none"/>
                <w:lang w:val="en-US" w:eastAsia="zh-CN"/>
              </w:rPr>
              <w:t>5</w:t>
            </w:r>
            <w:r>
              <w:rPr>
                <w:rFonts w:hint="eastAsia" w:asciiTheme="majorEastAsia" w:hAnsiTheme="majorEastAsia" w:eastAsiaTheme="majorEastAsia" w:cstheme="majorEastAsia"/>
                <w:b w:val="0"/>
                <w:color w:val="auto"/>
                <w:spacing w:val="-4"/>
                <w:sz w:val="16"/>
                <w:szCs w:val="16"/>
                <w:highlight w:val="none"/>
              </w:rPr>
              <w:t>分。</w:t>
            </w:r>
          </w:p>
        </w:tc>
        <w:tc>
          <w:tcPr>
            <w:tcW w:w="252" w:type="pct"/>
            <w:tcBorders>
              <w:top w:val="single" w:color="auto" w:sz="4" w:space="0"/>
              <w:left w:val="single" w:color="auto" w:sz="4" w:space="0"/>
              <w:right w:val="single" w:color="auto" w:sz="4" w:space="0"/>
            </w:tcBorders>
            <w:shd w:val="clear" w:color="auto" w:fill="auto"/>
            <w:vAlign w:val="center"/>
          </w:tcPr>
          <w:p w14:paraId="501E7A87">
            <w:pPr>
              <w:widowControl/>
              <w:spacing w:line="240" w:lineRule="exact"/>
              <w:jc w:val="center"/>
              <w:rPr>
                <w:rFonts w:hint="default" w:asciiTheme="majorEastAsia" w:hAnsiTheme="majorEastAsia" w:eastAsiaTheme="majorEastAsia" w:cstheme="majorEastAsia"/>
                <w:b w:val="0"/>
                <w:color w:val="auto"/>
                <w:spacing w:val="0"/>
                <w:sz w:val="24"/>
                <w:szCs w:val="24"/>
                <w:highlight w:val="none"/>
                <w:lang w:val="en-US" w:eastAsia="zh-CN"/>
              </w:rPr>
            </w:pPr>
            <w:r>
              <w:rPr>
                <w:rFonts w:hint="eastAsia" w:asciiTheme="majorEastAsia" w:hAnsiTheme="majorEastAsia" w:eastAsiaTheme="majorEastAsia" w:cstheme="majorEastAsia"/>
                <w:b w:val="0"/>
                <w:color w:val="auto"/>
                <w:spacing w:val="0"/>
                <w:sz w:val="24"/>
                <w:szCs w:val="24"/>
                <w:highlight w:val="none"/>
                <w:lang w:val="en-US" w:eastAsia="zh-CN"/>
              </w:rPr>
              <w:t>5</w:t>
            </w:r>
          </w:p>
        </w:tc>
        <w:tc>
          <w:tcPr>
            <w:tcW w:w="352" w:type="pct"/>
            <w:tcBorders>
              <w:top w:val="single" w:color="auto" w:sz="4" w:space="0"/>
              <w:left w:val="single" w:color="auto" w:sz="4" w:space="0"/>
              <w:right w:val="single" w:color="auto" w:sz="4" w:space="0"/>
            </w:tcBorders>
            <w:shd w:val="clear" w:color="auto" w:fill="auto"/>
            <w:vAlign w:val="center"/>
          </w:tcPr>
          <w:p w14:paraId="0D5DE41E">
            <w:pPr>
              <w:widowControl/>
              <w:spacing w:line="240" w:lineRule="exact"/>
              <w:jc w:val="center"/>
              <w:rPr>
                <w:rFonts w:cs="宋体"/>
                <w:b w:val="0"/>
                <w:color w:val="auto"/>
                <w:spacing w:val="0"/>
                <w:sz w:val="21"/>
                <w:szCs w:val="21"/>
                <w:highlight w:val="none"/>
              </w:rPr>
            </w:pPr>
          </w:p>
        </w:tc>
        <w:tc>
          <w:tcPr>
            <w:tcW w:w="241" w:type="pct"/>
            <w:tcBorders>
              <w:top w:val="single" w:color="auto" w:sz="4" w:space="0"/>
              <w:left w:val="single" w:color="auto" w:sz="4" w:space="0"/>
              <w:bottom w:val="single" w:color="auto" w:sz="4" w:space="0"/>
              <w:right w:val="single" w:color="auto" w:sz="4" w:space="0"/>
            </w:tcBorders>
            <w:shd w:val="clear" w:color="auto" w:fill="auto"/>
            <w:vAlign w:val="center"/>
          </w:tcPr>
          <w:p w14:paraId="1AC12A70">
            <w:pPr>
              <w:widowControl/>
              <w:spacing w:line="240" w:lineRule="exact"/>
              <w:jc w:val="center"/>
              <w:rPr>
                <w:rFonts w:cs="宋体"/>
                <w:b w:val="0"/>
                <w:color w:val="auto"/>
                <w:spacing w:val="0"/>
                <w:sz w:val="21"/>
                <w:szCs w:val="21"/>
                <w:highlight w:val="none"/>
              </w:rPr>
            </w:pPr>
          </w:p>
        </w:tc>
      </w:tr>
      <w:tr w14:paraId="301A8137">
        <w:tblPrEx>
          <w:tblCellMar>
            <w:top w:w="0" w:type="dxa"/>
            <w:left w:w="108" w:type="dxa"/>
            <w:bottom w:w="0" w:type="dxa"/>
            <w:right w:w="108" w:type="dxa"/>
          </w:tblCellMar>
        </w:tblPrEx>
        <w:trPr>
          <w:trHeight w:val="912" w:hRule="atLeast"/>
          <w:jc w:val="center"/>
        </w:trPr>
        <w:tc>
          <w:tcPr>
            <w:tcW w:w="345" w:type="pct"/>
            <w:vMerge w:val="continue"/>
            <w:tcBorders>
              <w:left w:val="single" w:color="auto" w:sz="4" w:space="0"/>
              <w:right w:val="single" w:color="auto" w:sz="4" w:space="0"/>
            </w:tcBorders>
            <w:vAlign w:val="center"/>
          </w:tcPr>
          <w:p w14:paraId="4279A252">
            <w:pPr>
              <w:widowControl/>
              <w:spacing w:line="240" w:lineRule="exact"/>
              <w:jc w:val="center"/>
              <w:rPr>
                <w:rFonts w:ascii="楷体_GB2312" w:eastAsia="楷体_GB2312" w:cs="宋体"/>
                <w:b w:val="0"/>
                <w:color w:val="auto"/>
                <w:spacing w:val="0"/>
                <w:sz w:val="24"/>
                <w:szCs w:val="24"/>
                <w:highlight w:val="none"/>
              </w:rPr>
            </w:pPr>
          </w:p>
        </w:tc>
        <w:tc>
          <w:tcPr>
            <w:tcW w:w="378" w:type="pct"/>
            <w:tcBorders>
              <w:top w:val="single" w:color="auto" w:sz="4" w:space="0"/>
              <w:left w:val="single" w:color="auto" w:sz="4" w:space="0"/>
              <w:right w:val="single" w:color="auto" w:sz="4" w:space="0"/>
            </w:tcBorders>
            <w:shd w:val="clear" w:color="auto" w:fill="auto"/>
            <w:vAlign w:val="center"/>
          </w:tcPr>
          <w:p w14:paraId="3F753331">
            <w:pPr>
              <w:widowControl/>
              <w:spacing w:line="240" w:lineRule="exact"/>
              <w:jc w:val="center"/>
              <w:rPr>
                <w:rFonts w:hint="default" w:ascii="楷体" w:hAnsi="楷体" w:eastAsia="楷体" w:cs="楷体"/>
                <w:b w:val="0"/>
                <w:color w:val="auto"/>
                <w:spacing w:val="0"/>
                <w:sz w:val="24"/>
                <w:szCs w:val="24"/>
                <w:highlight w:val="none"/>
                <w:lang w:val="en-US" w:eastAsia="zh-CN" w:bidi="ar-SA"/>
              </w:rPr>
            </w:pPr>
            <w:r>
              <w:rPr>
                <w:rFonts w:hint="eastAsia" w:ascii="楷体" w:hAnsi="楷体" w:eastAsia="楷体" w:cs="楷体"/>
                <w:b w:val="0"/>
                <w:color w:val="auto"/>
                <w:spacing w:val="0"/>
                <w:sz w:val="20"/>
                <w:szCs w:val="20"/>
                <w:highlight w:val="none"/>
              </w:rPr>
              <w:t>专业技术职称</w:t>
            </w:r>
          </w:p>
        </w:tc>
        <w:tc>
          <w:tcPr>
            <w:tcW w:w="3429" w:type="pct"/>
            <w:tcBorders>
              <w:top w:val="single" w:color="auto" w:sz="4" w:space="0"/>
              <w:left w:val="single" w:color="auto" w:sz="4" w:space="0"/>
              <w:right w:val="single" w:color="auto" w:sz="4" w:space="0"/>
            </w:tcBorders>
            <w:shd w:val="clear" w:color="auto" w:fill="auto"/>
            <w:vAlign w:val="center"/>
          </w:tcPr>
          <w:p w14:paraId="2E544E17">
            <w:pPr>
              <w:widowControl/>
              <w:spacing w:line="120" w:lineRule="auto"/>
              <w:rPr>
                <w:rFonts w:hint="default" w:asciiTheme="majorEastAsia" w:hAnsiTheme="majorEastAsia" w:eastAsiaTheme="majorEastAsia" w:cstheme="majorEastAsia"/>
                <w:b w:val="0"/>
                <w:color w:val="auto"/>
                <w:spacing w:val="-4"/>
                <w:sz w:val="18"/>
                <w:szCs w:val="18"/>
                <w:highlight w:val="none"/>
                <w:lang w:val="en-US" w:eastAsia="zh-CN"/>
              </w:rPr>
            </w:pPr>
            <w:r>
              <w:rPr>
                <w:rFonts w:hint="eastAsia" w:asciiTheme="majorEastAsia" w:hAnsiTheme="majorEastAsia" w:eastAsiaTheme="majorEastAsia" w:cstheme="majorEastAsia"/>
                <w:b w:val="0"/>
                <w:color w:val="auto"/>
                <w:spacing w:val="0"/>
                <w:sz w:val="16"/>
                <w:szCs w:val="16"/>
                <w:highlight w:val="none"/>
              </w:rPr>
              <w:t>正高级职称得5分，副高级得3分，中级得2分，初级得1分。按所取得最高级职称计算，不累加计算。</w:t>
            </w:r>
          </w:p>
        </w:tc>
        <w:tc>
          <w:tcPr>
            <w:tcW w:w="252" w:type="pct"/>
            <w:tcBorders>
              <w:top w:val="single" w:color="auto" w:sz="4" w:space="0"/>
              <w:left w:val="single" w:color="auto" w:sz="4" w:space="0"/>
              <w:right w:val="single" w:color="auto" w:sz="4" w:space="0"/>
            </w:tcBorders>
            <w:shd w:val="clear" w:color="auto" w:fill="auto"/>
            <w:vAlign w:val="center"/>
          </w:tcPr>
          <w:p w14:paraId="753FF853">
            <w:pPr>
              <w:widowControl/>
              <w:spacing w:line="240" w:lineRule="exact"/>
              <w:jc w:val="center"/>
              <w:rPr>
                <w:rFonts w:hint="default" w:asciiTheme="majorEastAsia" w:hAnsiTheme="majorEastAsia" w:eastAsiaTheme="majorEastAsia" w:cstheme="majorEastAsia"/>
                <w:b w:val="0"/>
                <w:color w:val="auto"/>
                <w:spacing w:val="0"/>
                <w:sz w:val="24"/>
                <w:szCs w:val="24"/>
                <w:highlight w:val="none"/>
                <w:lang w:val="en-US" w:eastAsia="zh-CN" w:bidi="ar-SA"/>
              </w:rPr>
            </w:pPr>
            <w:r>
              <w:rPr>
                <w:rFonts w:hint="eastAsia" w:asciiTheme="majorEastAsia" w:hAnsiTheme="majorEastAsia" w:eastAsiaTheme="majorEastAsia" w:cstheme="majorEastAsia"/>
                <w:b w:val="0"/>
                <w:color w:val="auto"/>
                <w:spacing w:val="0"/>
                <w:sz w:val="24"/>
                <w:szCs w:val="24"/>
                <w:highlight w:val="none"/>
                <w:lang w:val="en-US" w:eastAsia="zh-CN"/>
              </w:rPr>
              <w:t>5</w:t>
            </w:r>
          </w:p>
        </w:tc>
        <w:tc>
          <w:tcPr>
            <w:tcW w:w="352" w:type="pct"/>
            <w:tcBorders>
              <w:top w:val="single" w:color="auto" w:sz="4" w:space="0"/>
              <w:left w:val="single" w:color="auto" w:sz="4" w:space="0"/>
              <w:right w:val="single" w:color="auto" w:sz="4" w:space="0"/>
            </w:tcBorders>
            <w:shd w:val="clear" w:color="auto" w:fill="auto"/>
            <w:vAlign w:val="center"/>
          </w:tcPr>
          <w:p w14:paraId="7C094880">
            <w:pPr>
              <w:widowControl/>
              <w:spacing w:line="240" w:lineRule="exact"/>
              <w:jc w:val="center"/>
              <w:rPr>
                <w:rFonts w:cs="宋体"/>
                <w:b w:val="0"/>
                <w:color w:val="auto"/>
                <w:spacing w:val="0"/>
                <w:sz w:val="21"/>
                <w:szCs w:val="21"/>
                <w:highlight w:val="none"/>
              </w:rPr>
            </w:pPr>
          </w:p>
        </w:tc>
        <w:tc>
          <w:tcPr>
            <w:tcW w:w="241" w:type="pct"/>
            <w:tcBorders>
              <w:top w:val="single" w:color="auto" w:sz="4" w:space="0"/>
              <w:left w:val="single" w:color="auto" w:sz="4" w:space="0"/>
              <w:bottom w:val="single" w:color="auto" w:sz="4" w:space="0"/>
              <w:right w:val="single" w:color="auto" w:sz="4" w:space="0"/>
            </w:tcBorders>
            <w:shd w:val="clear" w:color="auto" w:fill="auto"/>
            <w:vAlign w:val="center"/>
          </w:tcPr>
          <w:p w14:paraId="1796098A">
            <w:pPr>
              <w:widowControl/>
              <w:spacing w:line="240" w:lineRule="exact"/>
              <w:jc w:val="center"/>
              <w:rPr>
                <w:rFonts w:cs="宋体"/>
                <w:b w:val="0"/>
                <w:color w:val="auto"/>
                <w:spacing w:val="0"/>
                <w:sz w:val="21"/>
                <w:szCs w:val="21"/>
                <w:highlight w:val="none"/>
              </w:rPr>
            </w:pPr>
          </w:p>
        </w:tc>
      </w:tr>
      <w:tr w14:paraId="746F4649">
        <w:tblPrEx>
          <w:tblCellMar>
            <w:top w:w="0" w:type="dxa"/>
            <w:left w:w="108" w:type="dxa"/>
            <w:bottom w:w="0" w:type="dxa"/>
            <w:right w:w="108" w:type="dxa"/>
          </w:tblCellMar>
        </w:tblPrEx>
        <w:trPr>
          <w:trHeight w:val="926" w:hRule="atLeast"/>
          <w:jc w:val="center"/>
        </w:trPr>
        <w:tc>
          <w:tcPr>
            <w:tcW w:w="345" w:type="pct"/>
            <w:vMerge w:val="continue"/>
            <w:tcBorders>
              <w:left w:val="single" w:color="auto" w:sz="4" w:space="0"/>
              <w:bottom w:val="single" w:color="auto" w:sz="4" w:space="0"/>
              <w:right w:val="single" w:color="auto" w:sz="4" w:space="0"/>
            </w:tcBorders>
            <w:vAlign w:val="center"/>
          </w:tcPr>
          <w:p w14:paraId="1D2A67F7">
            <w:pPr>
              <w:widowControl/>
              <w:spacing w:line="240" w:lineRule="exact"/>
              <w:jc w:val="center"/>
              <w:rPr>
                <w:rFonts w:ascii="楷体_GB2312" w:eastAsia="楷体_GB2312" w:cs="宋体"/>
                <w:b w:val="0"/>
                <w:color w:val="auto"/>
                <w:spacing w:val="0"/>
                <w:sz w:val="24"/>
                <w:szCs w:val="24"/>
                <w:highlight w:val="none"/>
              </w:rPr>
            </w:pPr>
          </w:p>
        </w:tc>
        <w:tc>
          <w:tcPr>
            <w:tcW w:w="378" w:type="pct"/>
            <w:tcBorders>
              <w:top w:val="single" w:color="auto" w:sz="4" w:space="0"/>
              <w:left w:val="single" w:color="auto" w:sz="4" w:space="0"/>
              <w:bottom w:val="single" w:color="auto" w:sz="4" w:space="0"/>
              <w:right w:val="single" w:color="auto" w:sz="4" w:space="0"/>
            </w:tcBorders>
            <w:shd w:val="clear" w:color="auto" w:fill="auto"/>
            <w:vAlign w:val="center"/>
          </w:tcPr>
          <w:p w14:paraId="7F669EF4">
            <w:pPr>
              <w:widowControl/>
              <w:spacing w:line="240" w:lineRule="exact"/>
              <w:jc w:val="center"/>
              <w:rPr>
                <w:rFonts w:ascii="楷体" w:hAnsi="楷体" w:eastAsia="楷体" w:cs="楷体"/>
                <w:b w:val="0"/>
                <w:color w:val="auto"/>
                <w:spacing w:val="0"/>
                <w:sz w:val="24"/>
                <w:szCs w:val="24"/>
                <w:highlight w:val="none"/>
              </w:rPr>
            </w:pPr>
            <w:r>
              <w:rPr>
                <w:rFonts w:hint="eastAsia" w:ascii="楷体" w:hAnsi="楷体" w:eastAsia="楷体" w:cs="楷体"/>
                <w:b w:val="0"/>
                <w:color w:val="auto"/>
                <w:spacing w:val="0"/>
                <w:sz w:val="20"/>
                <w:szCs w:val="20"/>
                <w:highlight w:val="none"/>
              </w:rPr>
              <w:t>获得奖项</w:t>
            </w:r>
          </w:p>
        </w:tc>
        <w:tc>
          <w:tcPr>
            <w:tcW w:w="3429" w:type="pct"/>
            <w:tcBorders>
              <w:top w:val="single" w:color="auto" w:sz="4" w:space="0"/>
              <w:left w:val="single" w:color="auto" w:sz="4" w:space="0"/>
              <w:bottom w:val="single" w:color="auto" w:sz="4" w:space="0"/>
              <w:right w:val="single" w:color="auto" w:sz="4" w:space="0"/>
            </w:tcBorders>
            <w:shd w:val="clear" w:color="auto" w:fill="auto"/>
            <w:vAlign w:val="center"/>
          </w:tcPr>
          <w:p w14:paraId="0DB18D12">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Theme="majorEastAsia" w:hAnsiTheme="majorEastAsia" w:eastAsiaTheme="majorEastAsia" w:cstheme="majorEastAsia"/>
                <w:b w:val="0"/>
                <w:color w:val="auto"/>
                <w:spacing w:val="0"/>
                <w:sz w:val="16"/>
                <w:szCs w:val="16"/>
                <w:highlight w:val="none"/>
              </w:rPr>
            </w:pPr>
            <w:r>
              <w:rPr>
                <w:rFonts w:hint="eastAsia" w:asciiTheme="majorEastAsia" w:hAnsiTheme="majorEastAsia" w:eastAsiaTheme="majorEastAsia" w:cstheme="majorEastAsia"/>
                <w:b w:val="0"/>
                <w:color w:val="auto"/>
                <w:spacing w:val="0"/>
                <w:sz w:val="16"/>
                <w:szCs w:val="16"/>
                <w:highlight w:val="none"/>
                <w:lang w:val="en-US" w:eastAsia="zh-CN"/>
              </w:rPr>
              <w:t>1.</w:t>
            </w:r>
            <w:r>
              <w:rPr>
                <w:rFonts w:hint="eastAsia" w:asciiTheme="majorEastAsia" w:hAnsiTheme="majorEastAsia" w:eastAsiaTheme="majorEastAsia" w:cstheme="majorEastAsia"/>
                <w:b w:val="0"/>
                <w:color w:val="auto"/>
                <w:spacing w:val="0"/>
                <w:sz w:val="16"/>
                <w:szCs w:val="16"/>
                <w:highlight w:val="none"/>
              </w:rPr>
              <w:t>获得国家级荣誉者每项得</w:t>
            </w:r>
            <w:r>
              <w:rPr>
                <w:rFonts w:hint="eastAsia" w:asciiTheme="majorEastAsia" w:hAnsiTheme="majorEastAsia" w:eastAsiaTheme="majorEastAsia" w:cstheme="majorEastAsia"/>
                <w:b w:val="0"/>
                <w:color w:val="auto"/>
                <w:spacing w:val="0"/>
                <w:sz w:val="16"/>
                <w:szCs w:val="16"/>
                <w:highlight w:val="none"/>
                <w:lang w:val="en-US" w:eastAsia="zh-CN"/>
              </w:rPr>
              <w:t>10</w:t>
            </w:r>
            <w:r>
              <w:rPr>
                <w:rFonts w:hint="eastAsia" w:asciiTheme="majorEastAsia" w:hAnsiTheme="majorEastAsia" w:eastAsiaTheme="majorEastAsia" w:cstheme="majorEastAsia"/>
                <w:b w:val="0"/>
                <w:color w:val="auto"/>
                <w:spacing w:val="0"/>
                <w:sz w:val="16"/>
                <w:szCs w:val="16"/>
                <w:highlight w:val="none"/>
              </w:rPr>
              <w:t>分；获得国家部委和省级荣誉者每项得</w:t>
            </w:r>
            <w:r>
              <w:rPr>
                <w:rFonts w:hint="eastAsia" w:asciiTheme="majorEastAsia" w:hAnsiTheme="majorEastAsia" w:eastAsiaTheme="majorEastAsia" w:cstheme="majorEastAsia"/>
                <w:b w:val="0"/>
                <w:color w:val="auto"/>
                <w:spacing w:val="0"/>
                <w:sz w:val="16"/>
                <w:szCs w:val="16"/>
                <w:highlight w:val="none"/>
                <w:lang w:val="en-US" w:eastAsia="zh-CN"/>
              </w:rPr>
              <w:t>5</w:t>
            </w:r>
            <w:r>
              <w:rPr>
                <w:rFonts w:hint="eastAsia" w:asciiTheme="majorEastAsia" w:hAnsiTheme="majorEastAsia" w:eastAsiaTheme="majorEastAsia" w:cstheme="majorEastAsia"/>
                <w:b w:val="0"/>
                <w:color w:val="auto"/>
                <w:spacing w:val="0"/>
                <w:sz w:val="16"/>
                <w:szCs w:val="16"/>
                <w:highlight w:val="none"/>
              </w:rPr>
              <w:t>分；获得市级荣誉者每项得</w:t>
            </w:r>
            <w:r>
              <w:rPr>
                <w:rFonts w:hint="eastAsia" w:asciiTheme="majorEastAsia" w:hAnsiTheme="majorEastAsia" w:eastAsiaTheme="majorEastAsia" w:cstheme="majorEastAsia"/>
                <w:b w:val="0"/>
                <w:color w:val="auto"/>
                <w:spacing w:val="0"/>
                <w:sz w:val="16"/>
                <w:szCs w:val="16"/>
                <w:highlight w:val="none"/>
                <w:lang w:val="en-US" w:eastAsia="zh-CN"/>
              </w:rPr>
              <w:t>3</w:t>
            </w:r>
            <w:r>
              <w:rPr>
                <w:rFonts w:hint="eastAsia" w:asciiTheme="majorEastAsia" w:hAnsiTheme="majorEastAsia" w:eastAsiaTheme="majorEastAsia" w:cstheme="majorEastAsia"/>
                <w:b w:val="0"/>
                <w:color w:val="auto"/>
                <w:spacing w:val="0"/>
                <w:sz w:val="16"/>
                <w:szCs w:val="16"/>
                <w:highlight w:val="none"/>
              </w:rPr>
              <w:t>分。</w:t>
            </w:r>
          </w:p>
          <w:p w14:paraId="7CB9397F">
            <w:pPr>
              <w:keepNext w:val="0"/>
              <w:keepLines w:val="0"/>
              <w:pageBreakBefore w:val="0"/>
              <w:widowControl/>
              <w:kinsoku/>
              <w:wordWrap/>
              <w:overflowPunct/>
              <w:topLinePunct w:val="0"/>
              <w:autoSpaceDE/>
              <w:autoSpaceDN/>
              <w:bidi w:val="0"/>
              <w:adjustRightInd/>
              <w:snapToGrid/>
              <w:spacing w:line="300" w:lineRule="exact"/>
              <w:textAlignment w:val="auto"/>
              <w:rPr>
                <w:rFonts w:asciiTheme="minorEastAsia" w:hAnsiTheme="minorEastAsia" w:eastAsiaTheme="minorEastAsia" w:cstheme="minorEastAsia"/>
                <w:b w:val="0"/>
                <w:color w:val="auto"/>
                <w:spacing w:val="0"/>
                <w:sz w:val="18"/>
                <w:szCs w:val="18"/>
                <w:highlight w:val="none"/>
              </w:rPr>
            </w:pPr>
            <w:r>
              <w:rPr>
                <w:rFonts w:hint="eastAsia" w:asciiTheme="majorEastAsia" w:hAnsiTheme="majorEastAsia" w:eastAsiaTheme="majorEastAsia" w:cstheme="majorEastAsia"/>
                <w:b w:val="0"/>
                <w:color w:val="auto"/>
                <w:spacing w:val="0"/>
                <w:sz w:val="16"/>
                <w:szCs w:val="16"/>
                <w:highlight w:val="none"/>
                <w:lang w:val="en-US" w:eastAsia="zh-CN"/>
              </w:rPr>
              <w:t>2.</w:t>
            </w:r>
            <w:r>
              <w:rPr>
                <w:rFonts w:hint="eastAsia" w:asciiTheme="majorEastAsia" w:hAnsiTheme="majorEastAsia" w:eastAsiaTheme="majorEastAsia" w:cstheme="majorEastAsia"/>
                <w:b w:val="0"/>
                <w:color w:val="auto"/>
                <w:spacing w:val="0"/>
                <w:sz w:val="16"/>
                <w:szCs w:val="16"/>
                <w:highlight w:val="none"/>
              </w:rPr>
              <w:t>各项累加不超过</w:t>
            </w:r>
            <w:r>
              <w:rPr>
                <w:rFonts w:hint="eastAsia" w:asciiTheme="majorEastAsia" w:hAnsiTheme="majorEastAsia" w:eastAsiaTheme="majorEastAsia" w:cstheme="majorEastAsia"/>
                <w:b w:val="0"/>
                <w:color w:val="auto"/>
                <w:spacing w:val="0"/>
                <w:sz w:val="16"/>
                <w:szCs w:val="16"/>
                <w:highlight w:val="none"/>
                <w:lang w:val="en-US" w:eastAsia="zh-CN"/>
              </w:rPr>
              <w:t>10</w:t>
            </w:r>
            <w:r>
              <w:rPr>
                <w:rFonts w:hint="eastAsia" w:asciiTheme="majorEastAsia" w:hAnsiTheme="majorEastAsia" w:eastAsiaTheme="majorEastAsia" w:cstheme="majorEastAsia"/>
                <w:b w:val="0"/>
                <w:color w:val="auto"/>
                <w:spacing w:val="0"/>
                <w:sz w:val="16"/>
                <w:szCs w:val="16"/>
                <w:highlight w:val="none"/>
              </w:rPr>
              <w:t>分。</w:t>
            </w: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14:paraId="32DBEA70">
            <w:pPr>
              <w:widowControl/>
              <w:jc w:val="center"/>
              <w:rPr>
                <w:rFonts w:hint="default" w:eastAsia="宋体" w:cs="宋体"/>
                <w:b w:val="0"/>
                <w:color w:val="auto"/>
                <w:spacing w:val="0"/>
                <w:sz w:val="24"/>
                <w:szCs w:val="24"/>
                <w:highlight w:val="none"/>
                <w:lang w:val="en-US" w:eastAsia="zh-CN"/>
              </w:rPr>
            </w:pPr>
            <w:r>
              <w:rPr>
                <w:rFonts w:hint="eastAsia" w:cs="宋体"/>
                <w:b w:val="0"/>
                <w:color w:val="auto"/>
                <w:spacing w:val="0"/>
                <w:sz w:val="24"/>
                <w:szCs w:val="24"/>
                <w:highlight w:val="none"/>
                <w:lang w:val="en-US" w:eastAsia="zh-CN"/>
              </w:rPr>
              <w:t>10</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14:paraId="01A0BB42">
            <w:pPr>
              <w:widowControl/>
              <w:spacing w:line="240" w:lineRule="exact"/>
              <w:jc w:val="center"/>
              <w:rPr>
                <w:rFonts w:cs="宋体"/>
                <w:b w:val="0"/>
                <w:color w:val="auto"/>
                <w:spacing w:val="0"/>
                <w:sz w:val="21"/>
                <w:szCs w:val="21"/>
                <w:highlight w:val="none"/>
              </w:rPr>
            </w:pPr>
          </w:p>
        </w:tc>
        <w:tc>
          <w:tcPr>
            <w:tcW w:w="241" w:type="pct"/>
            <w:tcBorders>
              <w:top w:val="single" w:color="auto" w:sz="4" w:space="0"/>
              <w:left w:val="single" w:color="auto" w:sz="4" w:space="0"/>
              <w:bottom w:val="single" w:color="auto" w:sz="4" w:space="0"/>
              <w:right w:val="single" w:color="auto" w:sz="4" w:space="0"/>
            </w:tcBorders>
            <w:shd w:val="clear" w:color="auto" w:fill="auto"/>
            <w:vAlign w:val="center"/>
          </w:tcPr>
          <w:p w14:paraId="6C677822">
            <w:pPr>
              <w:widowControl/>
              <w:spacing w:line="240" w:lineRule="exact"/>
              <w:jc w:val="center"/>
              <w:rPr>
                <w:rFonts w:cs="宋体"/>
                <w:b w:val="0"/>
                <w:color w:val="auto"/>
                <w:spacing w:val="0"/>
                <w:sz w:val="21"/>
                <w:szCs w:val="21"/>
                <w:highlight w:val="none"/>
              </w:rPr>
            </w:pPr>
          </w:p>
        </w:tc>
      </w:tr>
    </w:tbl>
    <w:p w14:paraId="0BBB3B44">
      <w:pPr>
        <w:keepNext w:val="0"/>
        <w:keepLines w:val="0"/>
        <w:pageBreakBefore w:val="0"/>
        <w:kinsoku/>
        <w:wordWrap/>
        <w:overflowPunct/>
        <w:topLinePunct w:val="0"/>
        <w:autoSpaceDE/>
        <w:autoSpaceDN/>
        <w:bidi w:val="0"/>
        <w:adjustRightInd/>
        <w:snapToGrid/>
        <w:spacing w:line="260" w:lineRule="exact"/>
        <w:ind w:firstLine="954" w:firstLineChars="500"/>
        <w:textAlignment w:val="auto"/>
        <w:rPr>
          <w:rFonts w:hint="eastAsia" w:ascii="仿宋_GB2312" w:eastAsia="仿宋_GB2312"/>
          <w:b/>
          <w:bCs/>
          <w:color w:val="auto"/>
          <w:sz w:val="21"/>
          <w:szCs w:val="21"/>
          <w:highlight w:val="none"/>
          <w:lang w:eastAsia="zh-CN"/>
        </w:rPr>
      </w:pPr>
    </w:p>
    <w:p w14:paraId="5FFA621B">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eastAsia="仿宋_GB2312"/>
          <w:b/>
          <w:bCs/>
          <w:color w:val="auto"/>
          <w:sz w:val="21"/>
          <w:szCs w:val="21"/>
          <w:highlight w:val="none"/>
        </w:rPr>
      </w:pPr>
      <w:r>
        <w:rPr>
          <w:rFonts w:hint="eastAsia" w:ascii="仿宋_GB2312" w:eastAsia="仿宋_GB2312"/>
          <w:b/>
          <w:bCs/>
          <w:color w:val="auto"/>
          <w:sz w:val="21"/>
          <w:szCs w:val="21"/>
          <w:highlight w:val="none"/>
          <w:lang w:eastAsia="zh-CN"/>
        </w:rPr>
        <w:t>身份证号码：</w:t>
      </w:r>
      <w:r>
        <w:rPr>
          <w:rFonts w:hint="eastAsia" w:ascii="仿宋_GB2312" w:eastAsia="仿宋_GB2312"/>
          <w:b/>
          <w:bCs/>
          <w:color w:val="auto"/>
          <w:sz w:val="21"/>
          <w:szCs w:val="21"/>
          <w:highlight w:val="none"/>
          <w:lang w:val="en-US" w:eastAsia="zh-CN"/>
        </w:rPr>
        <w:t xml:space="preserve">                                      本人签字：                                   年    月    日</w:t>
      </w:r>
    </w:p>
    <w:p w14:paraId="254D12C9">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eastAsia="仿宋_GB2312"/>
          <w:b/>
          <w:bCs/>
          <w:color w:val="auto"/>
          <w:sz w:val="21"/>
          <w:szCs w:val="21"/>
          <w:highlight w:val="none"/>
          <w:lang w:val="en-US" w:eastAsia="zh-CN"/>
        </w:rPr>
      </w:pPr>
    </w:p>
    <w:p w14:paraId="6D0C6A09">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eastAsia="仿宋_GB2312"/>
          <w:b/>
          <w:bCs/>
          <w:color w:val="auto"/>
          <w:sz w:val="21"/>
          <w:szCs w:val="21"/>
          <w:highlight w:val="none"/>
          <w:lang w:val="en-US" w:eastAsia="zh-CN"/>
        </w:rPr>
      </w:pPr>
      <w:r>
        <w:rPr>
          <w:rFonts w:hint="eastAsia" w:ascii="仿宋_GB2312" w:eastAsia="仿宋_GB2312"/>
          <w:b/>
          <w:bCs/>
          <w:color w:val="auto"/>
          <w:sz w:val="21"/>
          <w:szCs w:val="21"/>
          <w:highlight w:val="none"/>
          <w:lang w:val="en-US" w:eastAsia="zh-CN"/>
        </w:rPr>
        <w:t>审核人签字：</w:t>
      </w:r>
    </w:p>
    <w:p w14:paraId="50F54ACE">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eastAsia="仿宋_GB2312"/>
          <w:b/>
          <w:bCs/>
          <w:color w:val="auto"/>
          <w:sz w:val="21"/>
          <w:szCs w:val="21"/>
          <w:highlight w:val="none"/>
          <w:lang w:val="en-US" w:eastAsia="zh-CN"/>
        </w:rPr>
      </w:pPr>
    </w:p>
    <w:p w14:paraId="6B27775D">
      <w:pPr>
        <w:spacing w:line="600" w:lineRule="exact"/>
        <w:jc w:val="center"/>
        <w:rPr>
          <w:rFonts w:hint="eastAsia" w:ascii="方正小标宋简体" w:hAnsi="黑体" w:eastAsia="方正小标宋简体"/>
          <w:b w:val="0"/>
          <w:bCs/>
          <w:color w:val="auto"/>
          <w:sz w:val="44"/>
          <w:szCs w:val="44"/>
          <w:highlight w:val="none"/>
          <w:lang w:val="en-US" w:eastAsia="zh-CN"/>
        </w:rPr>
      </w:pPr>
      <w:r>
        <w:rPr>
          <w:rFonts w:hint="eastAsia" w:ascii="方正小标宋简体" w:hAnsi="黑体" w:eastAsia="方正小标宋简体"/>
          <w:b w:val="0"/>
          <w:bCs/>
          <w:color w:val="auto"/>
          <w:sz w:val="44"/>
          <w:szCs w:val="44"/>
          <w:highlight w:val="none"/>
          <w:lang w:val="en-US" w:eastAsia="zh-CN"/>
        </w:rPr>
        <w:t>奈曼旗事业单位2026年第一批次人才引进</w:t>
      </w:r>
    </w:p>
    <w:p w14:paraId="397CE5A7">
      <w:pPr>
        <w:spacing w:line="600" w:lineRule="exact"/>
        <w:jc w:val="center"/>
        <w:rPr>
          <w:rFonts w:ascii="方正小标宋简体" w:hAnsi="黑体" w:eastAsia="方正小标宋简体"/>
          <w:b w:val="0"/>
          <w:bCs/>
          <w:color w:val="auto"/>
          <w:sz w:val="44"/>
          <w:szCs w:val="44"/>
          <w:highlight w:val="none"/>
        </w:rPr>
      </w:pPr>
      <w:bookmarkStart w:id="0" w:name="_GoBack"/>
      <w:bookmarkEnd w:id="0"/>
      <w:r>
        <w:rPr>
          <w:rFonts w:hint="eastAsia" w:ascii="方正小标宋简体" w:hAnsi="黑体" w:eastAsia="方正小标宋简体"/>
          <w:b w:val="0"/>
          <w:bCs/>
          <w:color w:val="auto"/>
          <w:sz w:val="44"/>
          <w:szCs w:val="44"/>
          <w:highlight w:val="none"/>
          <w:lang w:val="en-US" w:eastAsia="zh-CN"/>
        </w:rPr>
        <w:t>人才评价表</w:t>
      </w:r>
      <w:r>
        <w:rPr>
          <w:rFonts w:hint="eastAsia" w:ascii="方正小标宋简体" w:hAnsi="黑体" w:eastAsia="方正小标宋简体"/>
          <w:b w:val="0"/>
          <w:bCs/>
          <w:color w:val="auto"/>
          <w:sz w:val="44"/>
          <w:szCs w:val="44"/>
          <w:highlight w:val="none"/>
        </w:rPr>
        <w:t>填报说明</w:t>
      </w:r>
    </w:p>
    <w:p w14:paraId="54FD0FC0">
      <w:pPr>
        <w:spacing w:line="560" w:lineRule="exact"/>
        <w:ind w:firstLine="600" w:firstLineChars="200"/>
        <w:rPr>
          <w:rFonts w:ascii="黑体" w:hAnsi="黑体" w:eastAsia="黑体" w:cs="黑体"/>
          <w:b w:val="0"/>
          <w:bCs/>
          <w:color w:val="auto"/>
          <w:sz w:val="32"/>
          <w:szCs w:val="32"/>
          <w:highlight w:val="none"/>
        </w:rPr>
      </w:pPr>
    </w:p>
    <w:p w14:paraId="528A4A8D">
      <w:pPr>
        <w:spacing w:line="560" w:lineRule="exact"/>
        <w:ind w:firstLine="600" w:firstLineChars="200"/>
        <w:rPr>
          <w:rFonts w:ascii="黑体" w:hAnsi="黑体" w:eastAsia="黑体" w:cs="黑体"/>
          <w:b w:val="0"/>
          <w:bCs/>
          <w:color w:val="auto"/>
          <w:sz w:val="32"/>
          <w:szCs w:val="32"/>
          <w:highlight w:val="none"/>
        </w:rPr>
      </w:pPr>
      <w:r>
        <w:rPr>
          <w:rFonts w:ascii="黑体" w:hAnsi="黑体" w:eastAsia="黑体" w:cs="黑体"/>
          <w:b w:val="0"/>
          <w:bCs/>
          <w:color w:val="auto"/>
          <w:sz w:val="32"/>
          <w:szCs w:val="32"/>
          <w:highlight w:val="none"/>
        </w:rPr>
        <w:t>一、专业层次方面</w:t>
      </w:r>
    </w:p>
    <w:p w14:paraId="116F87F4">
      <w:pPr>
        <w:spacing w:line="560" w:lineRule="exact"/>
        <w:ind w:firstLine="600" w:firstLineChars="200"/>
        <w:rPr>
          <w:rFonts w:ascii="Times New Roman" w:hAnsi="Times New Roman" w:eastAsia="方正仿宋_GB2312" w:cs="Times New Roman"/>
          <w:b w:val="0"/>
          <w:bCs/>
          <w:color w:val="auto"/>
          <w:sz w:val="32"/>
          <w:szCs w:val="32"/>
          <w:highlight w:val="none"/>
        </w:rPr>
      </w:pPr>
      <w:r>
        <w:rPr>
          <w:rFonts w:ascii="Times New Roman" w:hAnsi="Times New Roman" w:eastAsia="方正仿宋_GB2312" w:cs="Times New Roman"/>
          <w:b w:val="0"/>
          <w:bCs/>
          <w:color w:val="auto"/>
          <w:sz w:val="32"/>
          <w:szCs w:val="32"/>
          <w:highlight w:val="none"/>
        </w:rPr>
        <w:t>（一</w:t>
      </w:r>
      <w:r>
        <w:rPr>
          <w:rFonts w:hint="eastAsia" w:ascii="Times New Roman" w:hAnsi="Times New Roman" w:eastAsia="方正仿宋_GB2312" w:cs="Times New Roman"/>
          <w:b w:val="0"/>
          <w:bCs/>
          <w:color w:val="auto"/>
          <w:sz w:val="32"/>
          <w:szCs w:val="32"/>
          <w:highlight w:val="none"/>
          <w:lang w:eastAsia="zh-CN"/>
        </w:rPr>
        <w:t>）</w:t>
      </w:r>
      <w:r>
        <w:rPr>
          <w:rFonts w:hint="eastAsia" w:ascii="Times New Roman" w:hAnsi="Times New Roman" w:eastAsia="方正仿宋_GB2312" w:cs="Times New Roman"/>
          <w:b w:val="0"/>
          <w:bCs/>
          <w:color w:val="auto"/>
          <w:sz w:val="32"/>
          <w:szCs w:val="32"/>
          <w:highlight w:val="none"/>
          <w:lang w:val="en-US" w:eastAsia="zh-CN"/>
        </w:rPr>
        <w:t>一流</w:t>
      </w:r>
      <w:r>
        <w:rPr>
          <w:rFonts w:ascii="Times New Roman" w:hAnsi="Times New Roman" w:eastAsia="方正仿宋_GB2312" w:cs="Times New Roman"/>
          <w:b w:val="0"/>
          <w:bCs/>
          <w:color w:val="auto"/>
          <w:sz w:val="32"/>
          <w:szCs w:val="32"/>
          <w:highlight w:val="none"/>
        </w:rPr>
        <w:t>高校和一流学科目录，以《教育部、财政部、国家发展改革委关于公布世界一流大学和一流学科建设高校及建设学科名单的通知》（教研函〔2017〕2号）《教育部、财政部、国家发展改革委关于公布第二轮“双一流”建设高校及建设学科名单的通知》（教研函〔2022〕1号）为准。</w:t>
      </w:r>
    </w:p>
    <w:p w14:paraId="562BAD5E">
      <w:pPr>
        <w:spacing w:line="560" w:lineRule="exact"/>
        <w:ind w:firstLine="600" w:firstLineChars="200"/>
        <w:rPr>
          <w:rFonts w:ascii="Times New Roman" w:hAnsi="Times New Roman" w:eastAsia="方正仿宋_GB2312" w:cs="Times New Roman"/>
          <w:b w:val="0"/>
          <w:bCs/>
          <w:color w:val="auto"/>
          <w:sz w:val="32"/>
          <w:szCs w:val="32"/>
          <w:highlight w:val="none"/>
        </w:rPr>
      </w:pPr>
      <w:r>
        <w:rPr>
          <w:rFonts w:ascii="Times New Roman" w:hAnsi="Times New Roman" w:eastAsia="方正仿宋_GB2312" w:cs="Times New Roman"/>
          <w:b w:val="0"/>
          <w:bCs/>
          <w:color w:val="auto"/>
          <w:sz w:val="32"/>
          <w:szCs w:val="32"/>
          <w:highlight w:val="none"/>
        </w:rPr>
        <w:t>（二）在一流学科认定上，所学专业须属该学科内专业。</w:t>
      </w:r>
    </w:p>
    <w:p w14:paraId="472A6A42">
      <w:pPr>
        <w:spacing w:line="560" w:lineRule="exact"/>
        <w:ind w:firstLine="600" w:firstLineChars="200"/>
        <w:rPr>
          <w:rFonts w:ascii="Times New Roman" w:hAnsi="Times New Roman" w:eastAsia="方正仿宋_GB2312" w:cs="Times New Roman"/>
          <w:b w:val="0"/>
          <w:bCs/>
          <w:color w:val="auto"/>
          <w:sz w:val="32"/>
          <w:szCs w:val="32"/>
          <w:highlight w:val="none"/>
        </w:rPr>
      </w:pPr>
      <w:r>
        <w:rPr>
          <w:rFonts w:ascii="Times New Roman" w:hAnsi="Times New Roman" w:eastAsia="方正仿宋_GB2312" w:cs="Times New Roman"/>
          <w:b w:val="0"/>
          <w:bCs/>
          <w:color w:val="auto"/>
          <w:sz w:val="32"/>
          <w:szCs w:val="32"/>
          <w:highlight w:val="none"/>
        </w:rPr>
        <w:t>（三）</w:t>
      </w:r>
      <w:r>
        <w:rPr>
          <w:rFonts w:hint="default" w:ascii="Times New Roman" w:hAnsi="Times New Roman" w:eastAsia="仿宋" w:cs="Times New Roman"/>
          <w:b w:val="0"/>
          <w:bCs w:val="0"/>
          <w:color w:val="auto"/>
          <w:spacing w:val="0"/>
          <w:kern w:val="2"/>
          <w:position w:val="0"/>
          <w:sz w:val="32"/>
          <w:szCs w:val="32"/>
          <w:highlight w:val="none"/>
          <w:lang w:val="en-US" w:eastAsia="zh-CN" w:bidi="ar-SA"/>
        </w:rPr>
        <w:t>世界大学综合排名须符合2024年、2025年度英国QS世界大学排名、泰晤士高等教育世界大学排名、《美国新闻与世界报道》世界大学排名、软科世界大学学术排名其中之一。</w:t>
      </w:r>
    </w:p>
    <w:p w14:paraId="5DF85A07">
      <w:pPr>
        <w:spacing w:line="560" w:lineRule="exact"/>
        <w:ind w:firstLine="600" w:firstLineChars="200"/>
        <w:rPr>
          <w:rFonts w:ascii="黑体" w:hAnsi="黑体" w:eastAsia="黑体" w:cs="黑体"/>
          <w:b w:val="0"/>
          <w:bCs/>
          <w:color w:val="auto"/>
          <w:sz w:val="32"/>
          <w:szCs w:val="32"/>
          <w:highlight w:val="none"/>
        </w:rPr>
      </w:pPr>
      <w:r>
        <w:rPr>
          <w:rFonts w:ascii="黑体" w:hAnsi="黑体" w:eastAsia="黑体" w:cs="黑体"/>
          <w:b w:val="0"/>
          <w:bCs/>
          <w:color w:val="auto"/>
          <w:sz w:val="32"/>
          <w:szCs w:val="32"/>
          <w:highlight w:val="none"/>
        </w:rPr>
        <w:t>二、科研成果方面</w:t>
      </w:r>
    </w:p>
    <w:p w14:paraId="4DD2A594">
      <w:pPr>
        <w:spacing w:line="560" w:lineRule="exact"/>
        <w:ind w:firstLine="600" w:firstLineChars="200"/>
        <w:rPr>
          <w:rFonts w:ascii="Times New Roman" w:hAnsi="Times New Roman" w:eastAsia="方正仿宋_GB2312" w:cs="Times New Roman"/>
          <w:b w:val="0"/>
          <w:bCs/>
          <w:color w:val="auto"/>
          <w:sz w:val="32"/>
          <w:szCs w:val="32"/>
          <w:highlight w:val="none"/>
        </w:rPr>
      </w:pPr>
      <w:r>
        <w:rPr>
          <w:rFonts w:hint="eastAsia" w:ascii="Times New Roman" w:hAnsi="Times New Roman" w:eastAsia="方正仿宋_GB2312" w:cs="Times New Roman"/>
          <w:b w:val="0"/>
          <w:bCs/>
          <w:color w:val="auto"/>
          <w:sz w:val="32"/>
          <w:szCs w:val="32"/>
          <w:highlight w:val="none"/>
        </w:rPr>
        <w:t>论文</w:t>
      </w:r>
      <w:r>
        <w:rPr>
          <w:rFonts w:ascii="Times New Roman" w:hAnsi="Times New Roman" w:eastAsia="方正仿宋_GB2312" w:cs="Times New Roman"/>
          <w:b w:val="0"/>
          <w:bCs/>
          <w:color w:val="auto"/>
          <w:sz w:val="32"/>
          <w:szCs w:val="32"/>
          <w:highlight w:val="none"/>
        </w:rPr>
        <w:t>需提供检索报告、扫描文本</w:t>
      </w:r>
      <w:r>
        <w:rPr>
          <w:rFonts w:hint="eastAsia" w:ascii="Times New Roman" w:hAnsi="Times New Roman" w:eastAsia="方正仿宋_GB2312" w:cs="Times New Roman"/>
          <w:b w:val="0"/>
          <w:bCs/>
          <w:color w:val="auto"/>
          <w:sz w:val="32"/>
          <w:szCs w:val="32"/>
          <w:highlight w:val="none"/>
        </w:rPr>
        <w:t>等材料，SCI、SSCI分区以中科院年度分区为准，独立或通讯第一作者，并列第一作者降一档计分，非第一作者或并列第二顺序以后通讯作者不计分，首次报道类文章不作为学术论文计分；发明专利需提供</w:t>
      </w:r>
      <w:r>
        <w:rPr>
          <w:rFonts w:ascii="Times New Roman" w:hAnsi="Times New Roman" w:eastAsia="方正仿宋_GB2312" w:cs="Times New Roman"/>
          <w:b w:val="0"/>
          <w:bCs/>
          <w:color w:val="auto"/>
          <w:sz w:val="32"/>
          <w:szCs w:val="32"/>
          <w:highlight w:val="none"/>
        </w:rPr>
        <w:t>作品文件、专利证书等材料，实用新型、外观设计专利不得分。</w:t>
      </w:r>
    </w:p>
    <w:p w14:paraId="5E6F82CE">
      <w:pPr>
        <w:spacing w:line="560" w:lineRule="exact"/>
        <w:ind w:firstLine="600" w:firstLineChars="200"/>
        <w:rPr>
          <w:rFonts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三、职业资格方面</w:t>
      </w:r>
    </w:p>
    <w:p w14:paraId="77CFE7FA">
      <w:pPr>
        <w:spacing w:line="560" w:lineRule="exact"/>
        <w:ind w:firstLine="600" w:firstLineChars="200"/>
        <w:rPr>
          <w:rFonts w:ascii="Times New Roman" w:hAnsi="Times New Roman" w:eastAsia="方正仿宋_GB2312" w:cs="Times New Roman"/>
          <w:b w:val="0"/>
          <w:bCs/>
          <w:color w:val="auto"/>
          <w:sz w:val="32"/>
          <w:szCs w:val="32"/>
          <w:highlight w:val="none"/>
        </w:rPr>
      </w:pPr>
      <w:r>
        <w:rPr>
          <w:rFonts w:ascii="Times New Roman" w:hAnsi="Times New Roman" w:eastAsia="方正仿宋_GB2312" w:cs="Times New Roman"/>
          <w:b w:val="0"/>
          <w:bCs/>
          <w:color w:val="auto"/>
          <w:sz w:val="32"/>
          <w:szCs w:val="32"/>
          <w:highlight w:val="none"/>
        </w:rPr>
        <w:t>（一）需提供职业资格证原件及复印件，并可在职业技能证书全国联网查询系统中查询。</w:t>
      </w:r>
    </w:p>
    <w:p w14:paraId="16AB3CE8">
      <w:pPr>
        <w:spacing w:line="560" w:lineRule="exact"/>
        <w:ind w:firstLine="600" w:firstLineChars="200"/>
        <w:rPr>
          <w:rFonts w:ascii="Times New Roman" w:hAnsi="Times New Roman" w:eastAsia="方正仿宋_GB2312" w:cs="Times New Roman"/>
          <w:b w:val="0"/>
          <w:bCs/>
          <w:color w:val="auto"/>
          <w:sz w:val="32"/>
          <w:szCs w:val="32"/>
          <w:highlight w:val="none"/>
        </w:rPr>
      </w:pPr>
      <w:r>
        <w:rPr>
          <w:rFonts w:ascii="Times New Roman" w:hAnsi="Times New Roman" w:eastAsia="方正仿宋_GB2312" w:cs="Times New Roman"/>
          <w:b w:val="0"/>
          <w:bCs/>
          <w:color w:val="auto"/>
          <w:sz w:val="32"/>
          <w:szCs w:val="32"/>
          <w:highlight w:val="none"/>
        </w:rPr>
        <w:t>（二）可按照级别划分的准入类专业技术人员职业资格，如：取得法律职业资格A证得5分。</w:t>
      </w:r>
    </w:p>
    <w:p w14:paraId="1C3C7957">
      <w:pPr>
        <w:spacing w:line="540" w:lineRule="exact"/>
        <w:ind w:firstLine="600" w:firstLineChars="200"/>
        <w:rPr>
          <w:rFonts w:ascii="Times New Roman" w:hAnsi="Times New Roman" w:eastAsia="方正仿宋_GB2312" w:cs="Times New Roman"/>
          <w:b w:val="0"/>
          <w:bCs/>
          <w:color w:val="auto"/>
          <w:sz w:val="32"/>
          <w:szCs w:val="32"/>
          <w:highlight w:val="none"/>
        </w:rPr>
      </w:pPr>
      <w:r>
        <w:rPr>
          <w:rFonts w:ascii="Times New Roman" w:hAnsi="Times New Roman" w:eastAsia="方正仿宋_GB2312" w:cs="Times New Roman"/>
          <w:b w:val="0"/>
          <w:bCs/>
          <w:color w:val="auto"/>
          <w:sz w:val="32"/>
          <w:szCs w:val="32"/>
          <w:highlight w:val="none"/>
        </w:rPr>
        <w:t>（三）关于专业技术人员职业资格及职业资格与职称对应关系认定以《国家职业资格目录》及内蒙古自治区人社厅《2020年关于更新公布专业技术类职业资格与职称对应关系表的说明》为准。</w:t>
      </w:r>
    </w:p>
    <w:p w14:paraId="6FF397A8">
      <w:pPr>
        <w:spacing w:line="540" w:lineRule="exact"/>
        <w:ind w:firstLine="600" w:firstLineChars="200"/>
        <w:rPr>
          <w:rFonts w:ascii="Times New Roman" w:hAnsi="Times New Roman" w:eastAsia="方正仿宋_GB2312" w:cs="Times New Roman"/>
          <w:b w:val="0"/>
          <w:bCs/>
          <w:color w:val="auto"/>
          <w:sz w:val="32"/>
          <w:szCs w:val="32"/>
          <w:highlight w:val="none"/>
        </w:rPr>
      </w:pPr>
      <w:r>
        <w:rPr>
          <w:rFonts w:ascii="Times New Roman" w:hAnsi="Times New Roman" w:eastAsia="方正仿宋_GB2312" w:cs="Times New Roman"/>
          <w:b w:val="0"/>
          <w:bCs/>
          <w:color w:val="auto"/>
          <w:sz w:val="32"/>
          <w:szCs w:val="32"/>
          <w:highlight w:val="none"/>
        </w:rPr>
        <w:t>可对应至中级职称的专业技术类职业资格为：房地产估价师、一级造价工程师、执业药师、注册安全工程师、注册核安全工程师、一级注册计量师、注册测绘师、一级注册消防工程师、注册城乡规划师（原注册城市规划师）、注册公用设备工程师、注册电气工程师、注册化工工程师、注册土木工程师(港航)、注册土木工程师(岩土)、注册土木工程师(水利水电)、注册土木工程师(道路工程)、注册石油天然气工程师、注册冶金工程师、注册采矿/矿物工程师、注册机械工程师、注册环保工程师、一级注册结构工程师、一级注册建筑师、一级注册建造师、监理工程师、注册设备监理师、注册会计师、编辑（技术编辑或一级校对）、二级口译、笔译翻译、计算机软件与技术（中级工程师、高级工程师）、环境影响评价工程师、通信工程师、机动车检测维修工程师、社会工作师、房地产经纪（原房地产经纪人）、公路水运工程试验检测师、银行业专业人员（中级）、工程咨询(投资)、矿业权评估师、土地登记代理（原土地登记代理人）、税务师（原注册税务师）、资产评估师（含珠宝专业）、会计师、审计师、统计师、经济师、主治（管）医师、主管药师、主管技师、主管护师。</w:t>
      </w:r>
    </w:p>
    <w:p w14:paraId="6EEEBFF4">
      <w:pPr>
        <w:spacing w:line="560" w:lineRule="exact"/>
        <w:ind w:firstLine="600" w:firstLineChars="200"/>
        <w:rPr>
          <w:rFonts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四、专业技术职称方面</w:t>
      </w:r>
    </w:p>
    <w:p w14:paraId="1B82DAA2">
      <w:pPr>
        <w:spacing w:line="560" w:lineRule="exact"/>
        <w:ind w:firstLine="600" w:firstLineChars="200"/>
        <w:rPr>
          <w:rFonts w:ascii="Times New Roman" w:hAnsi="Times New Roman" w:eastAsia="方正仿宋_GB2312" w:cs="Times New Roman"/>
          <w:b w:val="0"/>
          <w:bCs/>
          <w:color w:val="auto"/>
          <w:sz w:val="32"/>
          <w:szCs w:val="32"/>
          <w:highlight w:val="none"/>
        </w:rPr>
      </w:pPr>
      <w:r>
        <w:rPr>
          <w:rFonts w:ascii="Times New Roman" w:hAnsi="Times New Roman" w:eastAsia="方正仿宋_GB2312" w:cs="Times New Roman"/>
          <w:b w:val="0"/>
          <w:bCs/>
          <w:color w:val="auto"/>
          <w:sz w:val="32"/>
          <w:szCs w:val="32"/>
          <w:highlight w:val="none"/>
        </w:rPr>
        <w:t>（一）要求为社会化专业技术职称。</w:t>
      </w:r>
    </w:p>
    <w:p w14:paraId="0D950D3A">
      <w:pPr>
        <w:spacing w:line="560" w:lineRule="exact"/>
        <w:ind w:firstLine="600" w:firstLineChars="200"/>
        <w:rPr>
          <w:rFonts w:ascii="黑体" w:hAnsi="黑体" w:eastAsia="黑体" w:cs="黑体"/>
          <w:b w:val="0"/>
          <w:bCs/>
          <w:color w:val="auto"/>
          <w:sz w:val="32"/>
          <w:szCs w:val="32"/>
          <w:highlight w:val="none"/>
        </w:rPr>
      </w:pPr>
      <w:r>
        <w:rPr>
          <w:rFonts w:ascii="Times New Roman" w:hAnsi="Times New Roman" w:eastAsia="方正仿宋_GB2312" w:cs="Times New Roman"/>
          <w:b w:val="0"/>
          <w:bCs/>
          <w:color w:val="auto"/>
          <w:sz w:val="32"/>
          <w:szCs w:val="32"/>
          <w:highlight w:val="none"/>
        </w:rPr>
        <w:t>（二）需提供职称证，并可在相应查询系统中查询。</w:t>
      </w:r>
    </w:p>
    <w:p w14:paraId="5FB1DB5C">
      <w:pPr>
        <w:spacing w:line="540" w:lineRule="exact"/>
        <w:ind w:firstLine="600" w:firstLineChars="200"/>
        <w:rPr>
          <w:rFonts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五、获得奖项方面</w:t>
      </w:r>
    </w:p>
    <w:p w14:paraId="5617A754">
      <w:pPr>
        <w:spacing w:line="560" w:lineRule="exact"/>
        <w:ind w:firstLine="600" w:firstLineChars="200"/>
        <w:rPr>
          <w:rFonts w:ascii="Times New Roman" w:hAnsi="Times New Roman" w:eastAsia="方正仿宋_GB2312" w:cs="Times New Roman"/>
          <w:b w:val="0"/>
          <w:bCs/>
          <w:color w:val="auto"/>
          <w:sz w:val="32"/>
          <w:szCs w:val="32"/>
          <w:highlight w:val="none"/>
        </w:rPr>
      </w:pPr>
      <w:r>
        <w:rPr>
          <w:rFonts w:ascii="Times New Roman" w:hAnsi="Times New Roman" w:eastAsia="方正仿宋_GB2312" w:cs="Times New Roman"/>
          <w:b w:val="0"/>
          <w:bCs/>
          <w:color w:val="auto"/>
          <w:sz w:val="32"/>
          <w:szCs w:val="32"/>
          <w:highlight w:val="none"/>
        </w:rPr>
        <w:t xml:space="preserve">（一）荣誉等级认定上以颁发、授予单位的级别为准，以表彰文件、表彰证书、获奖证书、荣誉证书等用章单位作为认定依据。国家级指党中央、国务院授予或颁发的荣誉，省级指中央和国家机关部委及省（自治区、直辖市）党委、政府授予或颁发的荣誉，市级指市党委、政府授予或颁发的荣誉。国家级荣誉中：国家自然科学奖、国家技术发明奖、国家科技进步奖特等奖、国家科技进步奖获得者应为前5位完成人；省级荣誉中：省级科学技术特别贡献奖、自然科学奖、技术发明奖、科学技术进步奖、青年科学技术创新奖应为前3位完成人。 </w:t>
      </w:r>
    </w:p>
    <w:p w14:paraId="0E97452E">
      <w:pPr>
        <w:spacing w:line="560" w:lineRule="exact"/>
        <w:ind w:firstLine="600" w:firstLineChars="200"/>
        <w:rPr>
          <w:rFonts w:ascii="Times New Roman" w:hAnsi="Times New Roman" w:eastAsia="方正仿宋_GB2312" w:cs="Times New Roman"/>
          <w:b w:val="0"/>
          <w:bCs/>
          <w:color w:val="auto"/>
          <w:sz w:val="32"/>
          <w:szCs w:val="32"/>
          <w:highlight w:val="none"/>
        </w:rPr>
      </w:pPr>
      <w:r>
        <w:rPr>
          <w:rFonts w:ascii="Times New Roman" w:hAnsi="Times New Roman" w:eastAsia="方正仿宋_GB2312" w:cs="Times New Roman"/>
          <w:b w:val="0"/>
          <w:bCs/>
          <w:color w:val="auto"/>
          <w:sz w:val="32"/>
          <w:szCs w:val="32"/>
          <w:highlight w:val="none"/>
        </w:rPr>
        <w:t>（二）学校授予的荣誉不计算得分</w:t>
      </w:r>
      <w:r>
        <w:rPr>
          <w:rFonts w:hint="eastAsia" w:ascii="Times New Roman" w:hAnsi="Times New Roman" w:eastAsia="方正仿宋_GB2312" w:cs="Times New Roman"/>
          <w:b w:val="0"/>
          <w:bCs/>
          <w:color w:val="auto"/>
          <w:sz w:val="32"/>
          <w:szCs w:val="32"/>
          <w:highlight w:val="none"/>
        </w:rPr>
        <w:t>，在校期间获得的各类奖学金不计算得分。</w:t>
      </w:r>
    </w:p>
    <w:p w14:paraId="75C52826">
      <w:pPr>
        <w:spacing w:line="560" w:lineRule="exact"/>
        <w:ind w:firstLine="600" w:firstLineChars="200"/>
        <w:rPr>
          <w:rFonts w:ascii="Times New Roman" w:hAnsi="Times New Roman" w:eastAsia="方正仿宋_GB2312" w:cs="Times New Roman"/>
          <w:b w:val="0"/>
          <w:bCs/>
          <w:color w:val="auto"/>
          <w:sz w:val="32"/>
          <w:szCs w:val="32"/>
          <w:highlight w:val="none"/>
        </w:rPr>
      </w:pPr>
      <w:r>
        <w:rPr>
          <w:rFonts w:ascii="Times New Roman" w:hAnsi="Times New Roman" w:eastAsia="方正仿宋_GB2312" w:cs="Times New Roman"/>
          <w:b w:val="0"/>
          <w:bCs/>
          <w:color w:val="auto"/>
          <w:sz w:val="32"/>
          <w:szCs w:val="32"/>
          <w:highlight w:val="none"/>
        </w:rPr>
        <w:t>（三）各类协会、社会组织、组委会发放证书的不加分。</w:t>
      </w:r>
    </w:p>
    <w:p w14:paraId="1E5B2FED">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eastAsia="仿宋_GB2312"/>
          <w:b w:val="0"/>
          <w:bCs/>
          <w:color w:val="auto"/>
          <w:sz w:val="21"/>
          <w:szCs w:val="21"/>
          <w:highlight w:val="none"/>
          <w:lang w:val="en-US" w:eastAsia="zh-CN"/>
        </w:rPr>
      </w:pPr>
    </w:p>
    <w:p w14:paraId="463EB2DA">
      <w:pPr>
        <w:spacing w:line="540" w:lineRule="exact"/>
        <w:ind w:firstLine="600" w:firstLineChars="200"/>
        <w:rPr>
          <w:rFonts w:hint="eastAsia" w:ascii="黑体" w:hAnsi="黑体" w:eastAsia="黑体" w:cs="黑体"/>
          <w:b w:val="0"/>
          <w:bCs/>
          <w:color w:val="auto"/>
          <w:sz w:val="32"/>
          <w:szCs w:val="32"/>
          <w:highlight w:val="none"/>
          <w:lang w:eastAsia="zh-CN"/>
        </w:rPr>
      </w:pPr>
      <w:r>
        <w:rPr>
          <w:rFonts w:hint="eastAsia" w:ascii="黑体" w:hAnsi="黑体" w:eastAsia="黑体" w:cs="黑体"/>
          <w:b w:val="0"/>
          <w:bCs/>
          <w:color w:val="auto"/>
          <w:sz w:val="32"/>
          <w:szCs w:val="32"/>
          <w:highlight w:val="none"/>
          <w:lang w:val="en-US" w:eastAsia="zh-CN"/>
        </w:rPr>
        <w:t>六</w:t>
      </w:r>
      <w:r>
        <w:rPr>
          <w:rFonts w:hint="eastAsia" w:ascii="黑体" w:hAnsi="黑体" w:eastAsia="黑体" w:cs="黑体"/>
          <w:b w:val="0"/>
          <w:bCs/>
          <w:color w:val="auto"/>
          <w:sz w:val="32"/>
          <w:szCs w:val="32"/>
          <w:highlight w:val="none"/>
        </w:rPr>
        <w:t>、</w:t>
      </w:r>
      <w:r>
        <w:rPr>
          <w:rFonts w:hint="eastAsia" w:ascii="黑体" w:hAnsi="黑体" w:eastAsia="黑体" w:cs="黑体"/>
          <w:b w:val="0"/>
          <w:bCs/>
          <w:color w:val="auto"/>
          <w:sz w:val="32"/>
          <w:szCs w:val="32"/>
          <w:highlight w:val="none"/>
          <w:lang w:val="en-US" w:eastAsia="zh-CN"/>
        </w:rPr>
        <w:t>其他</w:t>
      </w:r>
    </w:p>
    <w:p w14:paraId="2BF5B0CE">
      <w:pPr>
        <w:spacing w:line="560" w:lineRule="exact"/>
        <w:ind w:firstLine="600" w:firstLineChars="200"/>
        <w:rPr>
          <w:rFonts w:hint="eastAsia" w:ascii="Times New Roman" w:hAnsi="Times New Roman" w:eastAsia="方正仿宋_GB2312" w:cs="Times New Roman"/>
          <w:b w:val="0"/>
          <w:bCs/>
          <w:color w:val="auto"/>
          <w:sz w:val="32"/>
          <w:szCs w:val="32"/>
          <w:highlight w:val="none"/>
          <w:lang w:val="en-US" w:eastAsia="zh-CN"/>
        </w:rPr>
      </w:pPr>
      <w:r>
        <w:rPr>
          <w:rFonts w:hint="eastAsia" w:ascii="Times New Roman" w:hAnsi="Times New Roman" w:eastAsia="方正仿宋_GB2312" w:cs="Times New Roman"/>
          <w:b w:val="0"/>
          <w:bCs/>
          <w:color w:val="auto"/>
          <w:sz w:val="32"/>
          <w:szCs w:val="32"/>
          <w:highlight w:val="none"/>
          <w:lang w:val="en-US" w:eastAsia="zh-CN"/>
        </w:rPr>
        <w:t>1.特殊人才: SCI、SSCI一区检索超过2篇（含）、二区检索超过3篇（含）、三区检索超过5篇（含）者，人才评价按满分计算（100分），须为第一作者，不含并列第一作者。</w:t>
      </w:r>
    </w:p>
    <w:p w14:paraId="70DA6D76">
      <w:pPr>
        <w:spacing w:line="560" w:lineRule="exact"/>
        <w:ind w:firstLine="600" w:firstLineChars="200"/>
        <w:rPr>
          <w:rFonts w:hint="eastAsia" w:ascii="Times New Roman" w:hAnsi="Times New Roman" w:eastAsia="方正仿宋_GB2312" w:cs="Times New Roman"/>
          <w:b w:val="0"/>
          <w:bCs/>
          <w:color w:val="auto"/>
          <w:sz w:val="32"/>
          <w:szCs w:val="32"/>
          <w:highlight w:val="none"/>
          <w:lang w:val="en-US" w:eastAsia="zh-CN"/>
        </w:rPr>
      </w:pPr>
      <w:r>
        <w:rPr>
          <w:rFonts w:hint="eastAsia" w:ascii="Times New Roman" w:hAnsi="Times New Roman" w:eastAsia="方正仿宋_GB2312" w:cs="Times New Roman"/>
          <w:b w:val="0"/>
          <w:bCs/>
          <w:color w:val="auto"/>
          <w:sz w:val="32"/>
          <w:szCs w:val="32"/>
          <w:highlight w:val="none"/>
          <w:lang w:val="en-US" w:eastAsia="zh-CN"/>
        </w:rPr>
        <w:t>2.获得国家级荣誉3项（含）以上者，人才评价按满分计算（100分）。</w:t>
      </w:r>
    </w:p>
    <w:p w14:paraId="12D4275D">
      <w:pPr>
        <w:spacing w:line="560" w:lineRule="exact"/>
        <w:ind w:firstLine="600" w:firstLineChars="200"/>
        <w:rPr>
          <w:rFonts w:hint="eastAsia" w:ascii="Times New Roman" w:hAnsi="Times New Roman" w:eastAsia="方正仿宋_GB2312" w:cs="Times New Roman"/>
          <w:b w:val="0"/>
          <w:bCs/>
          <w:color w:val="auto"/>
          <w:sz w:val="32"/>
          <w:szCs w:val="32"/>
          <w:highlight w:val="none"/>
          <w:lang w:val="en-US" w:eastAsia="zh-CN"/>
        </w:rPr>
      </w:pPr>
      <w:r>
        <w:rPr>
          <w:rFonts w:hint="eastAsia" w:ascii="Times New Roman" w:hAnsi="Times New Roman" w:eastAsia="方正仿宋_GB2312" w:cs="Times New Roman"/>
          <w:b w:val="0"/>
          <w:bCs/>
          <w:color w:val="auto"/>
          <w:sz w:val="32"/>
          <w:szCs w:val="32"/>
          <w:highlight w:val="none"/>
          <w:lang w:val="en-US" w:eastAsia="zh-CN"/>
        </w:rPr>
        <w:t>3.符合条件的博士研究生报名直接进入体检、考察环节。</w:t>
      </w:r>
    </w:p>
    <w:p w14:paraId="42F48249">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eastAsia="仿宋_GB2312"/>
          <w:b/>
          <w:bCs/>
          <w:color w:val="auto"/>
          <w:sz w:val="21"/>
          <w:szCs w:val="21"/>
          <w:highlight w:val="none"/>
          <w:lang w:val="en-US" w:eastAsia="zh-CN"/>
        </w:rPr>
      </w:pPr>
    </w:p>
    <w:sectPr>
      <w:pgSz w:w="11906" w:h="16838"/>
      <w:pgMar w:top="1020" w:right="850" w:bottom="1020"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809DD07-6331-45D2-B22C-BF3F8B51548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8405732-4172-44A5-A3C9-92A7150C23B0}"/>
  </w:font>
  <w:font w:name="方正黑体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A00002BF" w:usb1="184F6CFA" w:usb2="00000012" w:usb3="00000000" w:csb0="00040001" w:csb1="00000000"/>
    <w:embedRegular r:id="rId3" w:fontKey="{73AF00BB-CE20-4A88-A15E-4F562D0CCA23}"/>
  </w:font>
  <w:font w:name="楷体_GB2312">
    <w:panose1 w:val="02010609030101010101"/>
    <w:charset w:val="86"/>
    <w:family w:val="modern"/>
    <w:pitch w:val="default"/>
    <w:sig w:usb0="00000001" w:usb1="080E0000" w:usb2="00000000" w:usb3="00000000" w:csb0="00040000" w:csb1="00000000"/>
    <w:embedRegular r:id="rId4" w:fontKey="{E61A5C8F-DE85-41DD-9411-D23563E83C62}"/>
  </w:font>
  <w:font w:name="楷体">
    <w:panose1 w:val="02010609060101010101"/>
    <w:charset w:val="86"/>
    <w:family w:val="modern"/>
    <w:pitch w:val="default"/>
    <w:sig w:usb0="800002BF" w:usb1="38CF7CFA" w:usb2="00000016" w:usb3="00000000" w:csb0="00040001" w:csb1="00000000"/>
    <w:embedRegular r:id="rId5" w:fontKey="{A74B4CA4-3562-467A-985E-29622A0A7376}"/>
  </w:font>
  <w:font w:name="仿宋_GB2312">
    <w:panose1 w:val="02010609030101010101"/>
    <w:charset w:val="86"/>
    <w:family w:val="modern"/>
    <w:pitch w:val="default"/>
    <w:sig w:usb0="00000001" w:usb1="080E0000" w:usb2="00000000" w:usb3="00000000" w:csb0="00040000" w:csb1="00000000"/>
    <w:embedRegular r:id="rId6" w:fontKey="{20EA81DA-51E3-4957-AC1E-D6D555D6CFC3}"/>
  </w:font>
  <w:font w:name="方正仿宋_GB2312">
    <w:altName w:val="仿宋"/>
    <w:panose1 w:val="02000000000000000000"/>
    <w:charset w:val="86"/>
    <w:family w:val="auto"/>
    <w:pitch w:val="default"/>
    <w:sig w:usb0="00000000" w:usb1="00000000" w:usb2="00000012" w:usb3="00000000" w:csb0="00040001" w:csb1="00000000"/>
    <w:embedRegular r:id="rId7" w:fontKey="{4D5CF8FD-7D7E-43A5-9831-0DA59581CF19}"/>
  </w:font>
  <w:font w:name="仿宋">
    <w:panose1 w:val="02010609060101010101"/>
    <w:charset w:val="86"/>
    <w:family w:val="modern"/>
    <w:pitch w:val="default"/>
    <w:sig w:usb0="800002BF" w:usb1="38CF7CFA" w:usb2="00000016" w:usb3="00000000" w:csb0="00040001" w:csb1="00000000"/>
    <w:embedRegular r:id="rId8" w:fontKey="{EC3ED8C3-FF0D-4265-B981-95E8B39C81D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xNTU5YWQ5NmMwNDQ1NmYzY2VhMzc3NjMxNWI2YTcifQ=="/>
  </w:docVars>
  <w:rsids>
    <w:rsidRoot w:val="464025A8"/>
    <w:rsid w:val="003357D8"/>
    <w:rsid w:val="036C46DD"/>
    <w:rsid w:val="03FB660C"/>
    <w:rsid w:val="077C0992"/>
    <w:rsid w:val="07DF5D77"/>
    <w:rsid w:val="08AF4730"/>
    <w:rsid w:val="08F5187C"/>
    <w:rsid w:val="092B6B72"/>
    <w:rsid w:val="0B57681E"/>
    <w:rsid w:val="0BDA11FD"/>
    <w:rsid w:val="0C353F27"/>
    <w:rsid w:val="0C637E48"/>
    <w:rsid w:val="0E902987"/>
    <w:rsid w:val="12157C38"/>
    <w:rsid w:val="12397985"/>
    <w:rsid w:val="126A28E6"/>
    <w:rsid w:val="128F377D"/>
    <w:rsid w:val="148461AA"/>
    <w:rsid w:val="16675E44"/>
    <w:rsid w:val="180E0AE8"/>
    <w:rsid w:val="185B7685"/>
    <w:rsid w:val="18A961DF"/>
    <w:rsid w:val="1A3472F1"/>
    <w:rsid w:val="1A8C739D"/>
    <w:rsid w:val="1E103821"/>
    <w:rsid w:val="1FDF3FD0"/>
    <w:rsid w:val="20B804FA"/>
    <w:rsid w:val="21ED1832"/>
    <w:rsid w:val="22DF1DC6"/>
    <w:rsid w:val="24636B05"/>
    <w:rsid w:val="26467763"/>
    <w:rsid w:val="27AE3812"/>
    <w:rsid w:val="2A397F0C"/>
    <w:rsid w:val="2AFE2018"/>
    <w:rsid w:val="2B342280"/>
    <w:rsid w:val="2D8C63A3"/>
    <w:rsid w:val="305D68FB"/>
    <w:rsid w:val="31393666"/>
    <w:rsid w:val="3340656A"/>
    <w:rsid w:val="33B7010D"/>
    <w:rsid w:val="3538296D"/>
    <w:rsid w:val="35643762"/>
    <w:rsid w:val="35EF5721"/>
    <w:rsid w:val="36211653"/>
    <w:rsid w:val="36AC716F"/>
    <w:rsid w:val="36CF7301"/>
    <w:rsid w:val="372129BA"/>
    <w:rsid w:val="395B509B"/>
    <w:rsid w:val="3ACF5B21"/>
    <w:rsid w:val="3B7F30A4"/>
    <w:rsid w:val="3CAE211E"/>
    <w:rsid w:val="3CE15365"/>
    <w:rsid w:val="3E622809"/>
    <w:rsid w:val="42081788"/>
    <w:rsid w:val="43667E11"/>
    <w:rsid w:val="45D67D64"/>
    <w:rsid w:val="45EE1552"/>
    <w:rsid w:val="464025A8"/>
    <w:rsid w:val="46D33015"/>
    <w:rsid w:val="47C05C47"/>
    <w:rsid w:val="499D44A3"/>
    <w:rsid w:val="4AB54B17"/>
    <w:rsid w:val="4AF45637"/>
    <w:rsid w:val="4CA801AB"/>
    <w:rsid w:val="4E16224E"/>
    <w:rsid w:val="4E437F61"/>
    <w:rsid w:val="4FC275AB"/>
    <w:rsid w:val="4FFA0AF3"/>
    <w:rsid w:val="517D19DC"/>
    <w:rsid w:val="54F47C8D"/>
    <w:rsid w:val="54FF095A"/>
    <w:rsid w:val="565F7902"/>
    <w:rsid w:val="57BD2205"/>
    <w:rsid w:val="5809221B"/>
    <w:rsid w:val="584A3D01"/>
    <w:rsid w:val="5879263A"/>
    <w:rsid w:val="59D61361"/>
    <w:rsid w:val="5A960771"/>
    <w:rsid w:val="5B6426C5"/>
    <w:rsid w:val="5CC46711"/>
    <w:rsid w:val="5CED3EB9"/>
    <w:rsid w:val="5D1C1DBA"/>
    <w:rsid w:val="5E421FE3"/>
    <w:rsid w:val="5E9A1E1F"/>
    <w:rsid w:val="5ED85CC4"/>
    <w:rsid w:val="5EDAEB65"/>
    <w:rsid w:val="5F761860"/>
    <w:rsid w:val="60480E48"/>
    <w:rsid w:val="613C540F"/>
    <w:rsid w:val="61F26C21"/>
    <w:rsid w:val="622B2AF0"/>
    <w:rsid w:val="635A7DCF"/>
    <w:rsid w:val="639530AB"/>
    <w:rsid w:val="64A05CB5"/>
    <w:rsid w:val="65E8460B"/>
    <w:rsid w:val="68DD68DF"/>
    <w:rsid w:val="6942558D"/>
    <w:rsid w:val="69BD6B97"/>
    <w:rsid w:val="6E865F1C"/>
    <w:rsid w:val="6EAC488C"/>
    <w:rsid w:val="6EBC193D"/>
    <w:rsid w:val="6F235519"/>
    <w:rsid w:val="6F9B1553"/>
    <w:rsid w:val="702F7F91"/>
    <w:rsid w:val="705D5574"/>
    <w:rsid w:val="719F5042"/>
    <w:rsid w:val="76375D4D"/>
    <w:rsid w:val="78542BE7"/>
    <w:rsid w:val="786C1451"/>
    <w:rsid w:val="78D855C6"/>
    <w:rsid w:val="79500AB3"/>
    <w:rsid w:val="7A0B3779"/>
    <w:rsid w:val="7E727A8B"/>
    <w:rsid w:val="7F1C3D32"/>
    <w:rsid w:val="7FCA09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b/>
      <w:spacing w:val="-10"/>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2356</Words>
  <Characters>2468</Characters>
  <Lines>0</Lines>
  <Paragraphs>0</Paragraphs>
  <TotalTime>2</TotalTime>
  <ScaleCrop>false</ScaleCrop>
  <LinksUpToDate>false</LinksUpToDate>
  <CharactersWithSpaces>2612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2024-07-22T11:50:00Z</dcterms:created>
  <dc:creator>科尔沁区人社局</dc:creator>
  <cp:lastModifiedBy>念</cp:lastModifiedBy>
  <cp:lastPrinted>2025-07-09T08:39:00Z</cp:lastPrinted>
  <dcterms:modified xsi:type="dcterms:W3CDTF">2025-12-17T12:26:32Z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309BE091054548A79B2941298C83BC2E_13</vt:lpwstr>
  </property>
  <property fmtid="{D5CDD505-2E9C-101B-9397-08002B2CF9AE}" pid="4" name="KSOTemplateDocerSaveRecord">
    <vt:lpwstr>eyJoZGlkIjoiYmMzYzNkZjU0YjUwZDg0NGI4OTFmYzYxNTI5MmZiMmIiLCJ1c2VySWQiOiIyNjQ0MDYxMzIifQ==</vt:lpwstr>
  </property>
</Properties>
</file>