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B299E">
      <w:pPr>
        <w:numPr>
          <w:ilvl w:val="0"/>
          <w:numId w:val="0"/>
        </w:numPr>
        <w:adjustRightInd/>
        <w:spacing w:line="560" w:lineRule="exact"/>
        <w:ind w:leftChars="0" w:right="0" w:rightChars="0"/>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rPr>
        <w:t>榜单任务</w:t>
      </w:r>
      <w:r>
        <w:rPr>
          <w:rFonts w:hint="eastAsia" w:ascii="黑体" w:hAnsi="黑体" w:eastAsia="黑体" w:cs="黑体"/>
          <w:b/>
          <w:bCs/>
          <w:sz w:val="32"/>
          <w:szCs w:val="32"/>
          <w:lang w:val="en-US" w:eastAsia="zh-CN"/>
        </w:rPr>
        <w:t>表</w:t>
      </w:r>
    </w:p>
    <w:p w14:paraId="3F79FB1B">
      <w:pPr>
        <w:spacing w:line="106" w:lineRule="exact"/>
      </w:pPr>
    </w:p>
    <w:tbl>
      <w:tblPr>
        <w:tblStyle w:val="8"/>
        <w:tblW w:w="91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7"/>
        <w:gridCol w:w="7952"/>
        <w:gridCol w:w="10"/>
      </w:tblGrid>
      <w:tr w14:paraId="09D47D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400" w:hRule="atLeast"/>
          <w:jc w:val="center"/>
        </w:trPr>
        <w:tc>
          <w:tcPr>
            <w:tcW w:w="1177" w:type="dxa"/>
            <w:noWrap w:val="0"/>
            <w:vAlign w:val="center"/>
          </w:tcPr>
          <w:p w14:paraId="63060D2B">
            <w:pPr>
              <w:pStyle w:val="7"/>
              <w:widowControl/>
              <w:kinsoku w:val="0"/>
              <w:autoSpaceDE w:val="0"/>
              <w:autoSpaceDN w:val="0"/>
              <w:snapToGrid w:val="0"/>
              <w:spacing w:line="240" w:lineRule="auto"/>
              <w:jc w:val="center"/>
              <w:rPr>
                <w:rFonts w:ascii="黑体" w:hAnsi="Times New Roman" w:eastAsia="黑体" w:cs="Times New Roman"/>
                <w:color w:val="000000"/>
                <w:sz w:val="21"/>
                <w:szCs w:val="21"/>
                <w:lang w:eastAsia="zh-CN"/>
              </w:rPr>
            </w:pPr>
            <w:r>
              <w:rPr>
                <w:rFonts w:hint="eastAsia" w:ascii="黑体" w:hAnsi="Times New Roman" w:eastAsia="黑体" w:cs="Times New Roman"/>
                <w:color w:val="000000"/>
                <w:sz w:val="21"/>
                <w:szCs w:val="21"/>
                <w:lang w:eastAsia="zh-CN"/>
              </w:rPr>
              <w:t>榜单名称</w:t>
            </w:r>
          </w:p>
        </w:tc>
        <w:tc>
          <w:tcPr>
            <w:tcW w:w="7952" w:type="dxa"/>
            <w:noWrap w:val="0"/>
            <w:vAlign w:val="center"/>
          </w:tcPr>
          <w:p w14:paraId="3EE7FB04">
            <w:pPr>
              <w:widowControl/>
              <w:kinsoku w:val="0"/>
              <w:autoSpaceDE w:val="0"/>
              <w:autoSpaceDN w:val="0"/>
              <w:snapToGrid w:val="0"/>
              <w:spacing w:line="240" w:lineRule="auto"/>
              <w:jc w:val="center"/>
              <w:rPr>
                <w:rFonts w:hint="default" w:ascii="仿宋_GB2312" w:eastAsia="仿宋_GB2312"/>
                <w:sz w:val="21"/>
                <w:szCs w:val="21"/>
                <w:lang w:val="en-US" w:eastAsia="zh-CN"/>
              </w:rPr>
            </w:pPr>
            <w:r>
              <w:rPr>
                <w:rFonts w:hint="eastAsia" w:ascii="仿宋_GB2312" w:eastAsia="仿宋_GB2312"/>
                <w:sz w:val="21"/>
                <w:szCs w:val="21"/>
                <w:lang w:val="en-US" w:eastAsia="zh-CN"/>
              </w:rPr>
              <w:t>食品科学岗位</w:t>
            </w:r>
          </w:p>
        </w:tc>
      </w:tr>
      <w:tr w14:paraId="29BDDC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382" w:hRule="atLeast"/>
          <w:jc w:val="center"/>
        </w:trPr>
        <w:tc>
          <w:tcPr>
            <w:tcW w:w="1177" w:type="dxa"/>
            <w:noWrap w:val="0"/>
            <w:vAlign w:val="center"/>
          </w:tcPr>
          <w:p w14:paraId="05CE4315">
            <w:pPr>
              <w:pStyle w:val="7"/>
              <w:widowControl/>
              <w:kinsoku w:val="0"/>
              <w:autoSpaceDE w:val="0"/>
              <w:autoSpaceDN w:val="0"/>
              <w:snapToGrid w:val="0"/>
              <w:spacing w:line="240" w:lineRule="auto"/>
              <w:jc w:val="center"/>
              <w:rPr>
                <w:rFonts w:ascii="黑体" w:hAnsi="Times New Roman" w:eastAsia="黑体" w:cs="Times New Roman"/>
                <w:color w:val="000000"/>
                <w:sz w:val="21"/>
                <w:szCs w:val="21"/>
                <w:lang w:eastAsia="zh-CN"/>
              </w:rPr>
            </w:pPr>
            <w:r>
              <w:rPr>
                <w:rFonts w:hint="eastAsia" w:ascii="黑体" w:hAnsi="Times New Roman" w:eastAsia="黑体" w:cs="Times New Roman"/>
                <w:color w:val="000000"/>
                <w:sz w:val="21"/>
                <w:szCs w:val="21"/>
                <w:lang w:eastAsia="zh-CN"/>
              </w:rPr>
              <w:t>聘任类型</w:t>
            </w:r>
          </w:p>
        </w:tc>
        <w:tc>
          <w:tcPr>
            <w:tcW w:w="7952" w:type="dxa"/>
            <w:noWrap w:val="0"/>
            <w:vAlign w:val="center"/>
          </w:tcPr>
          <w:p w14:paraId="4F0CE058">
            <w:pPr>
              <w:pStyle w:val="7"/>
              <w:widowControl/>
              <w:kinsoku w:val="0"/>
              <w:autoSpaceDE w:val="0"/>
              <w:autoSpaceDN w:val="0"/>
              <w:snapToGrid w:val="0"/>
              <w:spacing w:line="240" w:lineRule="auto"/>
              <w:ind w:left="692"/>
              <w:jc w:val="left"/>
              <w:rPr>
                <w:rFonts w:ascii="仿宋_GB2312" w:hAnsi="Times New Roman" w:eastAsia="仿宋_GB2312" w:cs="Times New Roman"/>
                <w:sz w:val="21"/>
                <w:szCs w:val="21"/>
                <w:lang w:eastAsia="zh-CN"/>
              </w:rPr>
            </w:pPr>
            <w:r>
              <w:rPr>
                <w:rFonts w:hint="eastAsia" w:ascii="仿宋_GB2312" w:hAnsi="Times New Roman" w:eastAsia="仿宋_GB2312" w:cs="Times New Roman"/>
                <w:sz w:val="21"/>
                <w:szCs w:val="21"/>
                <w:lang w:eastAsia="zh-CN"/>
              </w:rPr>
              <w:t xml:space="preserve">☑特聘教授 </w:t>
            </w:r>
            <w:r>
              <w:rPr>
                <w:rFonts w:ascii="仿宋_GB2312" w:hAnsi="Times New Roman" w:eastAsia="仿宋_GB2312" w:cs="Times New Roman"/>
                <w:sz w:val="21"/>
                <w:szCs w:val="21"/>
                <w:lang w:eastAsia="zh-CN"/>
              </w:rPr>
              <w:t xml:space="preserve">  </w:t>
            </w:r>
            <w:r>
              <w:rPr>
                <w:rFonts w:hint="eastAsia" w:ascii="仿宋_GB2312" w:hAnsi="Times New Roman" w:eastAsia="仿宋_GB2312" w:cs="Times New Roman"/>
                <w:sz w:val="21"/>
                <w:szCs w:val="21"/>
                <w:lang w:eastAsia="zh-CN"/>
              </w:rPr>
              <w:t>□青年学者</w:t>
            </w:r>
          </w:p>
        </w:tc>
      </w:tr>
      <w:tr w14:paraId="4EA137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1225" w:hRule="atLeast"/>
          <w:jc w:val="center"/>
        </w:trPr>
        <w:tc>
          <w:tcPr>
            <w:tcW w:w="1177" w:type="dxa"/>
            <w:noWrap w:val="0"/>
            <w:vAlign w:val="center"/>
          </w:tcPr>
          <w:p w14:paraId="2E406503">
            <w:pPr>
              <w:pStyle w:val="7"/>
              <w:widowControl/>
              <w:kinsoku w:val="0"/>
              <w:autoSpaceDE w:val="0"/>
              <w:autoSpaceDN w:val="0"/>
              <w:snapToGrid w:val="0"/>
              <w:spacing w:line="240" w:lineRule="auto"/>
              <w:jc w:val="center"/>
              <w:rPr>
                <w:rFonts w:ascii="黑体" w:hAnsi="Times New Roman" w:eastAsia="黑体" w:cs="Times New Roman"/>
                <w:color w:val="000000"/>
                <w:sz w:val="21"/>
                <w:szCs w:val="21"/>
                <w:lang w:eastAsia="zh-CN"/>
              </w:rPr>
            </w:pPr>
            <w:r>
              <w:rPr>
                <w:rFonts w:hint="eastAsia" w:ascii="黑体" w:hAnsi="Times New Roman" w:eastAsia="黑体" w:cs="Times New Roman"/>
                <w:color w:val="000000"/>
                <w:sz w:val="21"/>
                <w:szCs w:val="21"/>
                <w:lang w:eastAsia="zh-CN"/>
              </w:rPr>
              <w:t>榜单背景</w:t>
            </w:r>
          </w:p>
        </w:tc>
        <w:tc>
          <w:tcPr>
            <w:tcW w:w="7952" w:type="dxa"/>
            <w:noWrap w:val="0"/>
            <w:vAlign w:val="top"/>
          </w:tcPr>
          <w:p w14:paraId="405F913F">
            <w:pPr>
              <w:keepNext w:val="0"/>
              <w:keepLines w:val="0"/>
              <w:pageBreakBefore w:val="0"/>
              <w:widowControl w:val="0"/>
              <w:tabs>
                <w:tab w:val="left" w:pos="3225"/>
              </w:tabs>
              <w:kinsoku/>
              <w:wordWrap/>
              <w:overflowPunct/>
              <w:topLinePunct w:val="0"/>
              <w:autoSpaceDE/>
              <w:autoSpaceDN/>
              <w:bidi w:val="0"/>
              <w:adjustRightInd w:val="0"/>
              <w:snapToGrid/>
              <w:spacing w:line="240" w:lineRule="auto"/>
              <w:ind w:firstLine="420" w:firstLineChars="200"/>
              <w:textAlignment w:val="baseline"/>
              <w:rPr>
                <w:rFonts w:ascii="仿宋_GB2312" w:hAnsi="Times New Roman" w:eastAsia="仿宋_GB2312" w:cs="Times New Roman"/>
                <w:sz w:val="21"/>
                <w:szCs w:val="21"/>
                <w:lang w:eastAsia="zh-CN"/>
              </w:rPr>
            </w:pPr>
            <w:r>
              <w:rPr>
                <w:rFonts w:hint="eastAsia" w:ascii="仿宋_GB2312" w:hAnsi="仿宋_GB2312" w:eastAsia="仿宋_GB2312" w:cs="仿宋_GB2312"/>
                <w:color w:val="auto"/>
                <w:kern w:val="0"/>
                <w:sz w:val="21"/>
                <w:szCs w:val="21"/>
                <w:highlight w:val="none"/>
                <w:lang w:val="en-US" w:eastAsia="zh-CN" w:bidi="ar-SA"/>
              </w:rPr>
              <w:t>为了有效应对海洋水产品质量与安全领域日益严峻的挑战，推动海洋水产品行业的健康、可持续发展，食品科学与工程学科特此申报海洋水产品质量与安全人才项目榜单。通过该项目，吸引、培养和汇聚优秀的专业人才，为保障我国海洋食品质量与安全、提升海洋食品行业整体竞争力提供坚实的人才支撑。</w:t>
            </w:r>
          </w:p>
        </w:tc>
      </w:tr>
      <w:tr w14:paraId="251C4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77" w:type="dxa"/>
            <w:noWrap w:val="0"/>
            <w:vAlign w:val="center"/>
          </w:tcPr>
          <w:p w14:paraId="63F191F6">
            <w:pPr>
              <w:pStyle w:val="7"/>
              <w:widowControl/>
              <w:kinsoku w:val="0"/>
              <w:autoSpaceDE w:val="0"/>
              <w:autoSpaceDN w:val="0"/>
              <w:snapToGrid w:val="0"/>
              <w:spacing w:line="240" w:lineRule="auto"/>
              <w:jc w:val="center"/>
              <w:rPr>
                <w:rFonts w:ascii="黑体" w:hAnsi="Times New Roman" w:eastAsia="黑体" w:cs="Times New Roman"/>
                <w:color w:val="000000"/>
                <w:sz w:val="21"/>
                <w:szCs w:val="21"/>
                <w:lang w:eastAsia="zh-CN"/>
              </w:rPr>
            </w:pPr>
            <w:r>
              <w:rPr>
                <w:rFonts w:hint="eastAsia" w:ascii="黑体" w:hAnsi="Times New Roman" w:eastAsia="黑体" w:cs="Times New Roman"/>
                <w:color w:val="000000"/>
                <w:sz w:val="21"/>
                <w:szCs w:val="21"/>
                <w:lang w:eastAsia="zh-CN"/>
              </w:rPr>
              <w:t>需求目标</w:t>
            </w:r>
          </w:p>
        </w:tc>
        <w:tc>
          <w:tcPr>
            <w:tcW w:w="7962" w:type="dxa"/>
            <w:gridSpan w:val="2"/>
            <w:noWrap w:val="0"/>
            <w:vAlign w:val="top"/>
          </w:tcPr>
          <w:p w14:paraId="4C9B9ABB">
            <w:pPr>
              <w:keepNext w:val="0"/>
              <w:keepLines w:val="0"/>
              <w:pageBreakBefore w:val="0"/>
              <w:widowControl w:val="0"/>
              <w:tabs>
                <w:tab w:val="left" w:pos="3225"/>
              </w:tabs>
              <w:kinsoku/>
              <w:wordWrap/>
              <w:overflowPunct/>
              <w:topLinePunct w:val="0"/>
              <w:autoSpaceDE/>
              <w:autoSpaceDN/>
              <w:bidi w:val="0"/>
              <w:adjustRightInd w:val="0"/>
              <w:snapToGrid/>
              <w:spacing w:line="240" w:lineRule="auto"/>
              <w:ind w:firstLine="420" w:firstLineChars="200"/>
              <w:textAlignment w:val="baseline"/>
              <w:rPr>
                <w:rFonts w:ascii="仿宋_GB2312" w:hAnsi="Times New Roman" w:eastAsia="仿宋_GB2312" w:cs="Times New Roman"/>
                <w:sz w:val="21"/>
                <w:szCs w:val="21"/>
                <w:lang w:eastAsia="zh-CN"/>
              </w:rPr>
            </w:pPr>
            <w:r>
              <w:rPr>
                <w:rFonts w:hint="eastAsia" w:ascii="仿宋_GB2312" w:hAnsi="仿宋_GB2312" w:eastAsia="仿宋_GB2312" w:cs="仿宋_GB2312"/>
                <w:color w:val="000000"/>
                <w:kern w:val="0"/>
                <w:sz w:val="21"/>
                <w:szCs w:val="21"/>
                <w:highlight w:val="none"/>
                <w:lang w:val="en-US" w:eastAsia="zh-CN" w:bidi="ar-SA"/>
              </w:rPr>
              <w:t>带领团队开展海洋水产品质量与安全领域的教育教学、科学研究和社会服务工作，提升食品科学与工程学科的学科整体水平。</w:t>
            </w:r>
          </w:p>
        </w:tc>
      </w:tr>
      <w:tr w14:paraId="21E132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34" w:hRule="atLeast"/>
          <w:jc w:val="center"/>
        </w:trPr>
        <w:tc>
          <w:tcPr>
            <w:tcW w:w="1177" w:type="dxa"/>
            <w:noWrap w:val="0"/>
            <w:vAlign w:val="center"/>
          </w:tcPr>
          <w:p w14:paraId="06CD8EDB">
            <w:pPr>
              <w:pStyle w:val="7"/>
              <w:widowControl/>
              <w:kinsoku w:val="0"/>
              <w:autoSpaceDE w:val="0"/>
              <w:autoSpaceDN w:val="0"/>
              <w:snapToGrid w:val="0"/>
              <w:spacing w:line="240" w:lineRule="auto"/>
              <w:jc w:val="center"/>
              <w:rPr>
                <w:rFonts w:hint="eastAsia" w:ascii="黑体" w:hAnsi="Times New Roman" w:eastAsia="黑体" w:cs="Times New Roman"/>
                <w:color w:val="000000"/>
                <w:sz w:val="21"/>
                <w:szCs w:val="21"/>
                <w:lang w:eastAsia="zh-CN"/>
              </w:rPr>
            </w:pPr>
            <w:r>
              <w:rPr>
                <w:rFonts w:hint="eastAsia" w:ascii="黑体" w:hAnsi="Times New Roman" w:eastAsia="黑体" w:cs="Times New Roman"/>
                <w:color w:val="000000"/>
                <w:sz w:val="21"/>
                <w:szCs w:val="21"/>
                <w:lang w:eastAsia="zh-CN"/>
              </w:rPr>
              <w:t>任务核心</w:t>
            </w:r>
          </w:p>
          <w:p w14:paraId="2E9EEB84">
            <w:pPr>
              <w:pStyle w:val="7"/>
              <w:widowControl/>
              <w:kinsoku w:val="0"/>
              <w:autoSpaceDE w:val="0"/>
              <w:autoSpaceDN w:val="0"/>
              <w:snapToGrid w:val="0"/>
              <w:spacing w:line="240" w:lineRule="auto"/>
              <w:jc w:val="center"/>
              <w:rPr>
                <w:rFonts w:ascii="黑体" w:hAnsi="Times New Roman" w:eastAsia="黑体" w:cs="Times New Roman"/>
                <w:color w:val="000000"/>
                <w:sz w:val="21"/>
                <w:szCs w:val="21"/>
                <w:lang w:eastAsia="zh-CN"/>
              </w:rPr>
            </w:pPr>
            <w:r>
              <w:rPr>
                <w:rFonts w:hint="eastAsia" w:ascii="黑体" w:hAnsi="Times New Roman" w:eastAsia="黑体" w:cs="Times New Roman"/>
                <w:color w:val="000000"/>
                <w:sz w:val="21"/>
                <w:szCs w:val="21"/>
                <w:lang w:eastAsia="zh-CN"/>
              </w:rPr>
              <w:t>指标</w:t>
            </w:r>
          </w:p>
        </w:tc>
        <w:tc>
          <w:tcPr>
            <w:tcW w:w="7962" w:type="dxa"/>
            <w:gridSpan w:val="2"/>
            <w:noWrap w:val="0"/>
            <w:vAlign w:val="top"/>
          </w:tcPr>
          <w:p w14:paraId="4F248022">
            <w:pPr>
              <w:keepNext w:val="0"/>
              <w:keepLines w:val="0"/>
              <w:pageBreakBefore w:val="0"/>
              <w:widowControl w:val="0"/>
              <w:numPr>
                <w:ilvl w:val="0"/>
                <w:numId w:val="1"/>
              </w:numPr>
              <w:tabs>
                <w:tab w:val="left" w:pos="3225"/>
              </w:tabs>
              <w:kinsoku/>
              <w:wordWrap/>
              <w:overflowPunct/>
              <w:topLinePunct w:val="0"/>
              <w:autoSpaceDE/>
              <w:autoSpaceDN/>
              <w:bidi w:val="0"/>
              <w:adjustRightInd w:val="0"/>
              <w:snapToGrid/>
              <w:spacing w:line="240" w:lineRule="auto"/>
              <w:ind w:firstLine="420" w:firstLineChars="200"/>
              <w:textAlignment w:val="baseline"/>
              <w:rPr>
                <w:rFonts w:hint="eastAsia" w:ascii="仿宋_GB2312" w:hAnsi="仿宋_GB2312" w:eastAsia="仿宋_GB2312" w:cs="仿宋_GB2312"/>
                <w:color w:val="auto"/>
                <w:kern w:val="0"/>
                <w:sz w:val="21"/>
                <w:szCs w:val="21"/>
                <w:highlight w:val="none"/>
                <w:lang w:val="en-US" w:eastAsia="zh-CN" w:bidi="ar-SA"/>
              </w:rPr>
            </w:pPr>
            <w:r>
              <w:rPr>
                <w:rFonts w:hint="eastAsia" w:ascii="仿宋_GB2312" w:hAnsi="仿宋_GB2312" w:eastAsia="仿宋_GB2312" w:cs="仿宋_GB2312"/>
                <w:color w:val="auto"/>
                <w:kern w:val="0"/>
                <w:sz w:val="21"/>
                <w:szCs w:val="21"/>
                <w:highlight w:val="none"/>
                <w:lang w:val="en-US" w:eastAsia="zh-CN" w:bidi="ar-SA"/>
              </w:rPr>
              <w:t>教育教学。落实立德树人根本任务，履行教书育人职责，每学年至少主讲1门食品质量与安全专业的主干课程，指导博士研究生和硕士研究生。</w:t>
            </w:r>
          </w:p>
          <w:p w14:paraId="4ED4FE03">
            <w:pPr>
              <w:keepNext w:val="0"/>
              <w:keepLines w:val="0"/>
              <w:pageBreakBefore w:val="0"/>
              <w:widowControl w:val="0"/>
              <w:numPr>
                <w:ilvl w:val="0"/>
                <w:numId w:val="1"/>
              </w:numPr>
              <w:tabs>
                <w:tab w:val="left" w:pos="3225"/>
              </w:tabs>
              <w:kinsoku/>
              <w:wordWrap/>
              <w:overflowPunct/>
              <w:topLinePunct w:val="0"/>
              <w:autoSpaceDE/>
              <w:autoSpaceDN/>
              <w:bidi w:val="0"/>
              <w:adjustRightInd w:val="0"/>
              <w:snapToGrid/>
              <w:spacing w:line="240" w:lineRule="auto"/>
              <w:ind w:firstLine="420" w:firstLineChars="200"/>
              <w:textAlignment w:val="baseline"/>
              <w:rPr>
                <w:rFonts w:hint="default" w:ascii="仿宋_GB2312" w:hAnsi="仿宋_GB2312" w:eastAsia="仿宋_GB2312" w:cs="仿宋_GB2312"/>
                <w:color w:val="auto"/>
                <w:kern w:val="0"/>
                <w:sz w:val="21"/>
                <w:szCs w:val="21"/>
                <w:highlight w:val="none"/>
                <w:lang w:val="en-US" w:eastAsia="zh-CN" w:bidi="ar-SA"/>
              </w:rPr>
            </w:pPr>
            <w:r>
              <w:rPr>
                <w:rFonts w:hint="eastAsia" w:ascii="仿宋_GB2312" w:hAnsi="仿宋_GB2312" w:eastAsia="仿宋_GB2312" w:cs="仿宋_GB2312"/>
                <w:color w:val="auto"/>
                <w:kern w:val="0"/>
                <w:sz w:val="21"/>
                <w:szCs w:val="21"/>
                <w:highlight w:val="none"/>
                <w:lang w:val="en-US" w:eastAsia="zh-CN" w:bidi="ar-SA"/>
              </w:rPr>
              <w:t>科学研究。</w:t>
            </w:r>
            <w:r>
              <w:rPr>
                <w:rFonts w:hint="eastAsia" w:ascii="仿宋_GB2312" w:hAnsi="仿宋_GB2312" w:eastAsia="仿宋_GB2312" w:cs="仿宋_GB2312"/>
                <w:color w:val="auto"/>
                <w:kern w:val="0"/>
                <w:sz w:val="21"/>
                <w:szCs w:val="21"/>
                <w:highlight w:val="none"/>
                <w:lang w:val="en-US" w:eastAsia="zh-Hans" w:bidi="ar-SA"/>
              </w:rPr>
              <w:t>围绕“海洋强国”“健康中国</w:t>
            </w:r>
            <w:r>
              <w:rPr>
                <w:rFonts w:hint="default" w:ascii="仿宋_GB2312" w:hAnsi="仿宋_GB2312" w:eastAsia="仿宋_GB2312" w:cs="仿宋_GB2312"/>
                <w:color w:val="auto"/>
                <w:kern w:val="0"/>
                <w:sz w:val="21"/>
                <w:szCs w:val="21"/>
                <w:highlight w:val="none"/>
                <w:lang w:val="en-US" w:eastAsia="zh-Hans" w:bidi="ar-SA"/>
              </w:rPr>
              <w:t>2030</w:t>
            </w:r>
            <w:r>
              <w:rPr>
                <w:rFonts w:hint="eastAsia" w:ascii="仿宋_GB2312" w:hAnsi="仿宋_GB2312" w:eastAsia="仿宋_GB2312" w:cs="仿宋_GB2312"/>
                <w:color w:val="auto"/>
                <w:kern w:val="0"/>
                <w:sz w:val="21"/>
                <w:szCs w:val="21"/>
                <w:highlight w:val="none"/>
                <w:lang w:val="en-US" w:eastAsia="zh-Hans" w:bidi="ar-SA"/>
              </w:rPr>
              <w:t>”等国家战略</w:t>
            </w:r>
            <w:r>
              <w:rPr>
                <w:rFonts w:hint="eastAsia" w:ascii="仿宋_GB2312" w:hAnsi="仿宋_GB2312" w:eastAsia="仿宋_GB2312" w:cs="仿宋_GB2312"/>
                <w:color w:val="auto"/>
                <w:kern w:val="0"/>
                <w:sz w:val="21"/>
                <w:szCs w:val="21"/>
                <w:highlight w:val="none"/>
                <w:lang w:val="en-US" w:eastAsia="zh-CN" w:bidi="ar-SA"/>
              </w:rPr>
              <w:t>和广东海洋强省的需求</w:t>
            </w:r>
            <w:r>
              <w:rPr>
                <w:rFonts w:hint="eastAsia" w:ascii="仿宋_GB2312" w:hAnsi="仿宋_GB2312" w:eastAsia="仿宋_GB2312" w:cs="仿宋_GB2312"/>
                <w:color w:val="auto"/>
                <w:kern w:val="0"/>
                <w:sz w:val="21"/>
                <w:szCs w:val="21"/>
                <w:highlight w:val="none"/>
                <w:lang w:val="en-US" w:eastAsia="zh-Hans" w:bidi="ar-SA"/>
              </w:rPr>
              <w:t>，</w:t>
            </w:r>
            <w:r>
              <w:rPr>
                <w:rFonts w:hint="eastAsia" w:ascii="仿宋_GB2312" w:hAnsi="仿宋_GB2312" w:eastAsia="仿宋_GB2312" w:cs="仿宋_GB2312"/>
                <w:color w:val="auto"/>
                <w:kern w:val="0"/>
                <w:sz w:val="21"/>
                <w:szCs w:val="21"/>
                <w:highlight w:val="none"/>
                <w:lang w:val="en-US" w:eastAsia="zh-CN" w:bidi="ar-SA"/>
              </w:rPr>
              <w:t>开展海洋水产品质量与安全领域的原创性、重大关键问题研究和攻关，承担重大科研和科技开发项目，取得突破性、标志性成果，促进产学研结合和科研成果转化。</w:t>
            </w:r>
          </w:p>
          <w:p w14:paraId="51E62362">
            <w:pPr>
              <w:keepNext w:val="0"/>
              <w:keepLines w:val="0"/>
              <w:pageBreakBefore w:val="0"/>
              <w:widowControl w:val="0"/>
              <w:numPr>
                <w:ilvl w:val="0"/>
                <w:numId w:val="1"/>
              </w:numPr>
              <w:tabs>
                <w:tab w:val="left" w:pos="3225"/>
              </w:tabs>
              <w:kinsoku/>
              <w:wordWrap/>
              <w:overflowPunct/>
              <w:topLinePunct w:val="0"/>
              <w:autoSpaceDE/>
              <w:autoSpaceDN/>
              <w:bidi w:val="0"/>
              <w:adjustRightInd w:val="0"/>
              <w:snapToGrid/>
              <w:spacing w:line="240" w:lineRule="auto"/>
              <w:ind w:firstLine="420" w:firstLineChars="200"/>
              <w:textAlignment w:val="baseline"/>
              <w:rPr>
                <w:rFonts w:hint="eastAsia" w:ascii="仿宋_GB2312" w:hAnsi="仿宋_GB2312" w:eastAsia="仿宋_GB2312" w:cs="仿宋_GB2312"/>
                <w:color w:val="auto"/>
                <w:kern w:val="0"/>
                <w:sz w:val="21"/>
                <w:szCs w:val="21"/>
                <w:highlight w:val="none"/>
                <w:lang w:val="en-US" w:eastAsia="zh-CN" w:bidi="ar-SA"/>
              </w:rPr>
            </w:pPr>
            <w:r>
              <w:rPr>
                <w:rFonts w:hint="eastAsia" w:ascii="仿宋_GB2312" w:hAnsi="仿宋_GB2312" w:eastAsia="仿宋_GB2312" w:cs="仿宋_GB2312"/>
                <w:color w:val="auto"/>
                <w:kern w:val="0"/>
                <w:sz w:val="21"/>
                <w:szCs w:val="21"/>
                <w:highlight w:val="none"/>
                <w:lang w:val="en-US" w:eastAsia="zh-CN" w:bidi="ar-SA"/>
              </w:rPr>
              <w:t>人才培养。培养高校青年骨干教师。</w:t>
            </w:r>
          </w:p>
          <w:p w14:paraId="64A9DEF1">
            <w:pPr>
              <w:keepNext w:val="0"/>
              <w:keepLines w:val="0"/>
              <w:pageBreakBefore w:val="0"/>
              <w:widowControl w:val="0"/>
              <w:numPr>
                <w:ilvl w:val="0"/>
                <w:numId w:val="1"/>
              </w:numPr>
              <w:tabs>
                <w:tab w:val="left" w:pos="3225"/>
              </w:tabs>
              <w:kinsoku/>
              <w:wordWrap/>
              <w:overflowPunct/>
              <w:topLinePunct w:val="0"/>
              <w:autoSpaceDE/>
              <w:autoSpaceDN/>
              <w:bidi w:val="0"/>
              <w:adjustRightInd w:val="0"/>
              <w:snapToGrid/>
              <w:spacing w:line="240" w:lineRule="auto"/>
              <w:ind w:firstLine="420" w:firstLineChars="200"/>
              <w:textAlignment w:val="baseline"/>
              <w:rPr>
                <w:rFonts w:ascii="仿宋_GB2312" w:hAnsi="Times New Roman" w:eastAsia="仿宋_GB2312" w:cs="Times New Roman"/>
                <w:sz w:val="21"/>
                <w:szCs w:val="21"/>
                <w:lang w:eastAsia="zh-CN"/>
              </w:rPr>
            </w:pPr>
            <w:r>
              <w:rPr>
                <w:rFonts w:hint="eastAsia" w:ascii="仿宋_GB2312" w:hAnsi="仿宋_GB2312" w:eastAsia="仿宋_GB2312" w:cs="仿宋_GB2312"/>
                <w:color w:val="auto"/>
                <w:kern w:val="0"/>
                <w:sz w:val="21"/>
                <w:szCs w:val="21"/>
                <w:highlight w:val="none"/>
                <w:lang w:val="en-US" w:eastAsia="zh-CN" w:bidi="ar-SA"/>
              </w:rPr>
              <w:t>学科贡献。领导食品科学与工程学科海洋水产品质量与安全领域的学术梯队建设，主攻海洋水产品质量与安全领域的研究，保持或赶超本领域国际先进、国内领先水平，提升学科在国际国内学术领域的竞争力和影响力。</w:t>
            </w:r>
          </w:p>
        </w:tc>
      </w:tr>
      <w:tr w14:paraId="061C6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7" w:hRule="atLeast"/>
          <w:jc w:val="center"/>
        </w:trPr>
        <w:tc>
          <w:tcPr>
            <w:tcW w:w="1177" w:type="dxa"/>
            <w:noWrap w:val="0"/>
            <w:vAlign w:val="center"/>
          </w:tcPr>
          <w:p w14:paraId="6F4553B9">
            <w:pPr>
              <w:pStyle w:val="7"/>
              <w:widowControl/>
              <w:kinsoku w:val="0"/>
              <w:autoSpaceDE w:val="0"/>
              <w:autoSpaceDN w:val="0"/>
              <w:snapToGrid w:val="0"/>
              <w:spacing w:line="240" w:lineRule="auto"/>
              <w:jc w:val="center"/>
              <w:rPr>
                <w:rFonts w:ascii="黑体" w:hAnsi="Times New Roman" w:eastAsia="黑体" w:cs="Times New Roman"/>
                <w:color w:val="000000"/>
                <w:sz w:val="21"/>
                <w:szCs w:val="21"/>
                <w:lang w:eastAsia="zh-CN"/>
              </w:rPr>
            </w:pPr>
            <w:r>
              <w:rPr>
                <w:rFonts w:hint="eastAsia" w:ascii="黑体" w:hAnsi="Times New Roman" w:eastAsia="黑体" w:cs="Times New Roman"/>
                <w:color w:val="000000"/>
                <w:sz w:val="21"/>
                <w:szCs w:val="21"/>
                <w:lang w:eastAsia="zh-CN"/>
              </w:rPr>
              <w:t>预期效益</w:t>
            </w:r>
          </w:p>
        </w:tc>
        <w:tc>
          <w:tcPr>
            <w:tcW w:w="7962" w:type="dxa"/>
            <w:gridSpan w:val="2"/>
            <w:noWrap w:val="0"/>
            <w:vAlign w:val="top"/>
          </w:tcPr>
          <w:p w14:paraId="760D7106">
            <w:pPr>
              <w:keepNext w:val="0"/>
              <w:keepLines w:val="0"/>
              <w:pageBreakBefore w:val="0"/>
              <w:widowControl w:val="0"/>
              <w:numPr>
                <w:ilvl w:val="0"/>
                <w:numId w:val="2"/>
              </w:numPr>
              <w:tabs>
                <w:tab w:val="left" w:pos="3225"/>
              </w:tabs>
              <w:kinsoku/>
              <w:wordWrap/>
              <w:overflowPunct/>
              <w:topLinePunct w:val="0"/>
              <w:autoSpaceDE/>
              <w:autoSpaceDN/>
              <w:bidi w:val="0"/>
              <w:adjustRightInd w:val="0"/>
              <w:snapToGrid/>
              <w:spacing w:line="240" w:lineRule="auto"/>
              <w:ind w:firstLine="480"/>
              <w:textAlignment w:val="baseline"/>
              <w:rPr>
                <w:rFonts w:hint="default" w:ascii="仿宋_GB2312" w:hAnsi="仿宋_GB2312" w:eastAsia="仿宋_GB2312" w:cs="仿宋_GB2312"/>
                <w:color w:val="auto"/>
                <w:kern w:val="0"/>
                <w:sz w:val="21"/>
                <w:szCs w:val="21"/>
                <w:highlight w:val="none"/>
                <w:lang w:val="en-US" w:eastAsia="zh-Hans" w:bidi="ar-SA"/>
              </w:rPr>
            </w:pPr>
            <w:r>
              <w:rPr>
                <w:rFonts w:hint="eastAsia" w:ascii="仿宋_GB2312" w:hAnsi="仿宋_GB2312" w:eastAsia="仿宋_GB2312" w:cs="仿宋_GB2312"/>
                <w:color w:val="auto"/>
                <w:kern w:val="0"/>
                <w:sz w:val="21"/>
                <w:szCs w:val="21"/>
                <w:highlight w:val="none"/>
                <w:lang w:val="en-US" w:eastAsia="zh-CN" w:bidi="ar-SA"/>
              </w:rPr>
              <w:t>教书育人。聘期内，每学年主讲2门专业课程，指导博士研究生和硕士研究生10名以上，</w:t>
            </w:r>
            <w:r>
              <w:rPr>
                <w:rFonts w:hint="default" w:ascii="仿宋_GB2312" w:hAnsi="仿宋_GB2312" w:eastAsia="仿宋_GB2312" w:cs="仿宋_GB2312"/>
                <w:color w:val="auto"/>
                <w:kern w:val="0"/>
                <w:sz w:val="21"/>
                <w:szCs w:val="21"/>
                <w:highlight w:val="none"/>
                <w:lang w:val="en-US" w:eastAsia="zh-CN" w:bidi="ar-SA"/>
              </w:rPr>
              <w:t>支撑</w:t>
            </w:r>
            <w:r>
              <w:rPr>
                <w:rFonts w:hint="eastAsia" w:ascii="仿宋_GB2312" w:hAnsi="仿宋_GB2312" w:eastAsia="仿宋_GB2312" w:cs="仿宋_GB2312"/>
                <w:color w:val="auto"/>
                <w:kern w:val="0"/>
                <w:sz w:val="21"/>
                <w:szCs w:val="21"/>
                <w:highlight w:val="none"/>
                <w:lang w:val="en-US" w:eastAsia="zh-CN" w:bidi="ar-SA"/>
              </w:rPr>
              <w:t>食品质量与安全广东省</w:t>
            </w:r>
            <w:r>
              <w:rPr>
                <w:rFonts w:hint="default" w:ascii="仿宋_GB2312" w:hAnsi="仿宋_GB2312" w:eastAsia="仿宋_GB2312" w:cs="仿宋_GB2312"/>
                <w:color w:val="auto"/>
                <w:kern w:val="0"/>
                <w:sz w:val="21"/>
                <w:szCs w:val="21"/>
                <w:highlight w:val="none"/>
                <w:lang w:val="en-US" w:eastAsia="zh-CN" w:bidi="ar-SA"/>
              </w:rPr>
              <w:t>一流专业建设。</w:t>
            </w:r>
          </w:p>
          <w:p w14:paraId="6140A520">
            <w:pPr>
              <w:keepNext w:val="0"/>
              <w:keepLines w:val="0"/>
              <w:pageBreakBefore w:val="0"/>
              <w:widowControl w:val="0"/>
              <w:numPr>
                <w:ilvl w:val="0"/>
                <w:numId w:val="2"/>
              </w:numPr>
              <w:tabs>
                <w:tab w:val="left" w:pos="3225"/>
              </w:tabs>
              <w:kinsoku/>
              <w:wordWrap/>
              <w:overflowPunct/>
              <w:topLinePunct w:val="0"/>
              <w:autoSpaceDE/>
              <w:autoSpaceDN/>
              <w:bidi w:val="0"/>
              <w:adjustRightInd w:val="0"/>
              <w:snapToGrid/>
              <w:spacing w:line="240" w:lineRule="auto"/>
              <w:ind w:firstLine="480"/>
              <w:textAlignment w:val="baseline"/>
              <w:rPr>
                <w:rFonts w:hint="default" w:ascii="仿宋_GB2312" w:hAnsi="仿宋_GB2312" w:eastAsia="仿宋_GB2312" w:cs="仿宋_GB2312"/>
                <w:color w:val="auto"/>
                <w:kern w:val="0"/>
                <w:sz w:val="21"/>
                <w:szCs w:val="21"/>
                <w:highlight w:val="none"/>
                <w:lang w:val="en-US" w:eastAsia="zh-Hans" w:bidi="ar-SA"/>
              </w:rPr>
            </w:pPr>
            <w:r>
              <w:rPr>
                <w:rFonts w:hint="eastAsia" w:ascii="仿宋_GB2312" w:hAnsi="仿宋_GB2312" w:eastAsia="仿宋_GB2312" w:cs="仿宋_GB2312"/>
                <w:color w:val="auto"/>
                <w:kern w:val="0"/>
                <w:sz w:val="21"/>
                <w:szCs w:val="21"/>
                <w:highlight w:val="none"/>
                <w:lang w:val="en-US" w:eastAsia="zh-CN" w:bidi="ar-SA"/>
              </w:rPr>
              <w:t>科学研究。</w:t>
            </w:r>
            <w:r>
              <w:rPr>
                <w:rFonts w:hint="default" w:ascii="仿宋_GB2312" w:hAnsi="仿宋_GB2312" w:eastAsia="仿宋_GB2312" w:cs="仿宋_GB2312"/>
                <w:color w:val="auto"/>
                <w:kern w:val="0"/>
                <w:sz w:val="21"/>
                <w:szCs w:val="21"/>
                <w:highlight w:val="none"/>
                <w:lang w:val="en-US" w:eastAsia="zh-CN" w:bidi="ar-SA"/>
              </w:rPr>
              <w:t>聘期内</w:t>
            </w:r>
            <w:r>
              <w:rPr>
                <w:rFonts w:hint="eastAsia" w:ascii="仿宋_GB2312" w:hAnsi="仿宋_GB2312" w:eastAsia="仿宋_GB2312" w:cs="仿宋_GB2312"/>
                <w:color w:val="auto"/>
                <w:kern w:val="0"/>
                <w:sz w:val="21"/>
                <w:szCs w:val="21"/>
                <w:highlight w:val="none"/>
                <w:lang w:val="en-US" w:eastAsia="zh-CN" w:bidi="ar-SA"/>
              </w:rPr>
              <w:t>，获</w:t>
            </w:r>
            <w:r>
              <w:rPr>
                <w:rFonts w:hint="default" w:ascii="仿宋_GB2312" w:hAnsi="仿宋_GB2312" w:eastAsia="仿宋_GB2312" w:cs="仿宋_GB2312"/>
                <w:color w:val="auto"/>
                <w:kern w:val="0"/>
                <w:sz w:val="21"/>
                <w:szCs w:val="21"/>
                <w:highlight w:val="none"/>
                <w:lang w:val="en-US" w:eastAsia="zh-CN" w:bidi="ar-SA"/>
              </w:rPr>
              <w:t>国家级科研项目</w:t>
            </w:r>
            <w:r>
              <w:rPr>
                <w:rFonts w:hint="eastAsia" w:ascii="仿宋_GB2312" w:hAnsi="仿宋_GB2312" w:eastAsia="仿宋_GB2312" w:cs="仿宋_GB2312"/>
                <w:color w:val="auto"/>
                <w:kern w:val="0"/>
                <w:sz w:val="21"/>
                <w:szCs w:val="21"/>
                <w:highlight w:val="none"/>
                <w:lang w:val="en-US" w:eastAsia="zh-CN" w:bidi="ar-SA"/>
              </w:rPr>
              <w:t>1</w:t>
            </w:r>
            <w:r>
              <w:rPr>
                <w:rFonts w:hint="default" w:ascii="仿宋_GB2312" w:hAnsi="仿宋_GB2312" w:eastAsia="仿宋_GB2312" w:cs="仿宋_GB2312"/>
                <w:color w:val="auto"/>
                <w:kern w:val="0"/>
                <w:sz w:val="21"/>
                <w:szCs w:val="21"/>
                <w:highlight w:val="none"/>
                <w:lang w:val="en-US" w:eastAsia="zh-CN" w:bidi="ar-SA"/>
              </w:rPr>
              <w:t>项，突破</w:t>
            </w:r>
            <w:r>
              <w:rPr>
                <w:rFonts w:hint="eastAsia" w:ascii="仿宋_GB2312" w:hAnsi="仿宋_GB2312" w:eastAsia="仿宋_GB2312" w:cs="仿宋_GB2312"/>
                <w:color w:val="auto"/>
                <w:kern w:val="0"/>
                <w:sz w:val="21"/>
                <w:szCs w:val="21"/>
                <w:highlight w:val="none"/>
                <w:lang w:val="en-US" w:eastAsia="zh-CN" w:bidi="ar-SA"/>
              </w:rPr>
              <w:t>2</w:t>
            </w:r>
            <w:r>
              <w:rPr>
                <w:rFonts w:hint="default" w:ascii="仿宋_GB2312" w:hAnsi="仿宋_GB2312" w:eastAsia="仿宋_GB2312" w:cs="仿宋_GB2312"/>
                <w:color w:val="auto"/>
                <w:kern w:val="0"/>
                <w:sz w:val="21"/>
                <w:szCs w:val="21"/>
                <w:highlight w:val="none"/>
                <w:lang w:val="en-US" w:eastAsia="zh-CN" w:bidi="ar-SA"/>
              </w:rPr>
              <w:t>项以上关键技术</w:t>
            </w:r>
            <w:r>
              <w:rPr>
                <w:rFonts w:hint="eastAsia" w:ascii="仿宋_GB2312" w:hAnsi="仿宋_GB2312" w:eastAsia="仿宋_GB2312" w:cs="仿宋_GB2312"/>
                <w:color w:val="auto"/>
                <w:kern w:val="0"/>
                <w:sz w:val="21"/>
                <w:szCs w:val="21"/>
                <w:highlight w:val="none"/>
                <w:lang w:val="en-US" w:eastAsia="zh-CN" w:bidi="ar-SA"/>
              </w:rPr>
              <w:t>，</w:t>
            </w:r>
            <w:r>
              <w:rPr>
                <w:rFonts w:hint="default" w:ascii="仿宋_GB2312" w:hAnsi="仿宋_GB2312" w:eastAsia="仿宋_GB2312" w:cs="仿宋_GB2312"/>
                <w:color w:val="auto"/>
                <w:kern w:val="0"/>
                <w:sz w:val="21"/>
                <w:szCs w:val="21"/>
                <w:highlight w:val="none"/>
                <w:lang w:val="en-US" w:eastAsia="zh-CN" w:bidi="ar-SA"/>
              </w:rPr>
              <w:t>发表高质量学术论文</w:t>
            </w:r>
            <w:r>
              <w:rPr>
                <w:rFonts w:hint="eastAsia" w:ascii="仿宋_GB2312" w:hAnsi="仿宋_GB2312" w:eastAsia="仿宋_GB2312" w:cs="仿宋_GB2312"/>
                <w:color w:val="auto"/>
                <w:kern w:val="0"/>
                <w:sz w:val="21"/>
                <w:szCs w:val="21"/>
                <w:highlight w:val="none"/>
                <w:lang w:val="en-US" w:eastAsia="zh-CN" w:bidi="ar-SA"/>
              </w:rPr>
              <w:t>6</w:t>
            </w:r>
            <w:r>
              <w:rPr>
                <w:rFonts w:hint="default" w:ascii="仿宋_GB2312" w:hAnsi="仿宋_GB2312" w:eastAsia="仿宋_GB2312" w:cs="仿宋_GB2312"/>
                <w:color w:val="auto"/>
                <w:kern w:val="0"/>
                <w:sz w:val="21"/>
                <w:szCs w:val="21"/>
                <w:highlight w:val="none"/>
                <w:lang w:val="en-US" w:eastAsia="zh-CN" w:bidi="ar-SA"/>
              </w:rPr>
              <w:t>篇</w:t>
            </w:r>
            <w:r>
              <w:rPr>
                <w:rFonts w:hint="eastAsia" w:ascii="仿宋_GB2312" w:hAnsi="仿宋_GB2312" w:eastAsia="仿宋_GB2312" w:cs="仿宋_GB2312"/>
                <w:color w:val="auto"/>
                <w:kern w:val="0"/>
                <w:sz w:val="21"/>
                <w:szCs w:val="21"/>
                <w:highlight w:val="none"/>
                <w:lang w:val="en-US" w:eastAsia="zh-CN" w:bidi="ar-SA"/>
              </w:rPr>
              <w:t>，</w:t>
            </w:r>
            <w:r>
              <w:rPr>
                <w:rFonts w:hint="default" w:ascii="仿宋_GB2312" w:hAnsi="仿宋_GB2312" w:eastAsia="仿宋_GB2312" w:cs="仿宋_GB2312"/>
                <w:color w:val="auto"/>
                <w:kern w:val="0"/>
                <w:sz w:val="21"/>
                <w:szCs w:val="21"/>
                <w:highlight w:val="none"/>
                <w:lang w:val="en-US" w:eastAsia="zh-CN" w:bidi="ar-SA"/>
              </w:rPr>
              <w:t>获授权发明专利</w:t>
            </w:r>
            <w:r>
              <w:rPr>
                <w:rFonts w:hint="eastAsia" w:ascii="仿宋_GB2312" w:hAnsi="仿宋_GB2312" w:eastAsia="仿宋_GB2312" w:cs="仿宋_GB2312"/>
                <w:color w:val="auto"/>
                <w:kern w:val="0"/>
                <w:sz w:val="21"/>
                <w:szCs w:val="21"/>
                <w:highlight w:val="none"/>
                <w:lang w:val="en-US" w:eastAsia="zh-CN" w:bidi="ar-SA"/>
              </w:rPr>
              <w:t>2</w:t>
            </w:r>
            <w:r>
              <w:rPr>
                <w:rFonts w:hint="default" w:ascii="仿宋_GB2312" w:hAnsi="仿宋_GB2312" w:eastAsia="仿宋_GB2312" w:cs="仿宋_GB2312"/>
                <w:color w:val="auto"/>
                <w:kern w:val="0"/>
                <w:sz w:val="21"/>
                <w:szCs w:val="21"/>
                <w:highlight w:val="none"/>
                <w:lang w:val="en-US" w:eastAsia="zh-CN" w:bidi="ar-SA"/>
              </w:rPr>
              <w:t>件</w:t>
            </w:r>
            <w:r>
              <w:rPr>
                <w:rFonts w:hint="eastAsia" w:ascii="仿宋_GB2312" w:hAnsi="仿宋_GB2312" w:eastAsia="仿宋_GB2312" w:cs="仿宋_GB2312"/>
                <w:color w:val="auto"/>
                <w:kern w:val="0"/>
                <w:sz w:val="21"/>
                <w:szCs w:val="21"/>
                <w:highlight w:val="none"/>
                <w:lang w:val="en-US" w:eastAsia="zh-CN" w:bidi="ar-SA"/>
              </w:rPr>
              <w:t>，获省部级科技奖励1项。</w:t>
            </w:r>
          </w:p>
          <w:p w14:paraId="28F78705">
            <w:pPr>
              <w:keepNext w:val="0"/>
              <w:keepLines w:val="0"/>
              <w:pageBreakBefore w:val="0"/>
              <w:widowControl w:val="0"/>
              <w:numPr>
                <w:ilvl w:val="0"/>
                <w:numId w:val="2"/>
              </w:numPr>
              <w:tabs>
                <w:tab w:val="left" w:pos="3225"/>
              </w:tabs>
              <w:kinsoku/>
              <w:wordWrap/>
              <w:overflowPunct/>
              <w:topLinePunct w:val="0"/>
              <w:autoSpaceDE/>
              <w:autoSpaceDN/>
              <w:bidi w:val="0"/>
              <w:adjustRightInd w:val="0"/>
              <w:snapToGrid/>
              <w:spacing w:line="240" w:lineRule="auto"/>
              <w:ind w:firstLine="480"/>
              <w:textAlignment w:val="baseline"/>
              <w:rPr>
                <w:rFonts w:hint="default" w:ascii="仿宋_GB2312" w:hAnsi="仿宋_GB2312" w:eastAsia="仿宋_GB2312" w:cs="仿宋_GB2312"/>
                <w:color w:val="auto"/>
                <w:kern w:val="0"/>
                <w:sz w:val="21"/>
                <w:szCs w:val="21"/>
                <w:highlight w:val="none"/>
                <w:lang w:val="en-US" w:eastAsia="zh-CN" w:bidi="ar-SA"/>
              </w:rPr>
            </w:pPr>
            <w:r>
              <w:rPr>
                <w:rFonts w:hint="eastAsia" w:ascii="仿宋_GB2312" w:hAnsi="仿宋_GB2312" w:eastAsia="仿宋_GB2312" w:cs="仿宋_GB2312"/>
                <w:color w:val="auto"/>
                <w:kern w:val="0"/>
                <w:sz w:val="21"/>
                <w:szCs w:val="21"/>
                <w:highlight w:val="none"/>
                <w:lang w:val="en-US" w:eastAsia="zh-CN" w:bidi="ar-SA"/>
              </w:rPr>
              <w:t>人才培养。培养2名以上省内高校青年教师，其中省内其他高校青年教师不少于1名。</w:t>
            </w:r>
          </w:p>
          <w:p w14:paraId="0A58D406">
            <w:pPr>
              <w:keepNext w:val="0"/>
              <w:keepLines w:val="0"/>
              <w:pageBreakBefore w:val="0"/>
              <w:widowControl w:val="0"/>
              <w:numPr>
                <w:ilvl w:val="0"/>
                <w:numId w:val="2"/>
              </w:numPr>
              <w:tabs>
                <w:tab w:val="left" w:pos="3225"/>
              </w:tabs>
              <w:kinsoku/>
              <w:wordWrap/>
              <w:overflowPunct/>
              <w:topLinePunct w:val="0"/>
              <w:autoSpaceDE/>
              <w:autoSpaceDN/>
              <w:bidi w:val="0"/>
              <w:adjustRightInd w:val="0"/>
              <w:snapToGrid/>
              <w:spacing w:line="240" w:lineRule="auto"/>
              <w:ind w:firstLine="480"/>
              <w:textAlignment w:val="baseline"/>
              <w:rPr>
                <w:rFonts w:ascii="仿宋_GB2312" w:hAnsi="Times New Roman" w:eastAsia="仿宋_GB2312" w:cs="Times New Roman"/>
                <w:sz w:val="21"/>
                <w:szCs w:val="21"/>
                <w:lang w:eastAsia="zh-CN"/>
              </w:rPr>
            </w:pPr>
            <w:r>
              <w:rPr>
                <w:rFonts w:hint="eastAsia" w:ascii="仿宋_GB2312" w:hAnsi="仿宋_GB2312" w:eastAsia="仿宋_GB2312" w:cs="仿宋_GB2312"/>
                <w:color w:val="auto"/>
                <w:kern w:val="0"/>
                <w:sz w:val="21"/>
                <w:szCs w:val="21"/>
                <w:highlight w:val="none"/>
                <w:lang w:val="en-US" w:eastAsia="zh-CN" w:bidi="ar-SA"/>
              </w:rPr>
              <w:t>学科贡献。建设一支高水平的海洋水产品质量与安全研究团队，提升学科在国际国内学术领域的竞争力和影响力。</w:t>
            </w:r>
          </w:p>
        </w:tc>
      </w:tr>
      <w:tr w14:paraId="48BE2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177" w:type="dxa"/>
            <w:noWrap w:val="0"/>
            <w:vAlign w:val="center"/>
          </w:tcPr>
          <w:p w14:paraId="50EF3FB2">
            <w:pPr>
              <w:pStyle w:val="7"/>
              <w:widowControl/>
              <w:kinsoku w:val="0"/>
              <w:autoSpaceDE w:val="0"/>
              <w:autoSpaceDN w:val="0"/>
              <w:snapToGrid w:val="0"/>
              <w:spacing w:line="240" w:lineRule="auto"/>
              <w:jc w:val="center"/>
              <w:rPr>
                <w:rFonts w:ascii="黑体" w:hAnsi="Times New Roman" w:eastAsia="黑体" w:cs="Times New Roman"/>
                <w:color w:val="000000"/>
                <w:sz w:val="21"/>
                <w:szCs w:val="21"/>
                <w:lang w:eastAsia="zh-CN"/>
              </w:rPr>
            </w:pPr>
            <w:r>
              <w:rPr>
                <w:rFonts w:hint="eastAsia" w:ascii="黑体" w:hAnsi="Times New Roman" w:eastAsia="黑体" w:cs="Times New Roman"/>
                <w:color w:val="000000"/>
                <w:sz w:val="21"/>
                <w:szCs w:val="21"/>
                <w:lang w:eastAsia="zh-CN"/>
              </w:rPr>
              <w:t>时限要求</w:t>
            </w:r>
          </w:p>
        </w:tc>
        <w:tc>
          <w:tcPr>
            <w:tcW w:w="7962" w:type="dxa"/>
            <w:gridSpan w:val="2"/>
            <w:noWrap w:val="0"/>
            <w:vAlign w:val="center"/>
          </w:tcPr>
          <w:p w14:paraId="7EF82870">
            <w:pPr>
              <w:pStyle w:val="7"/>
              <w:widowControl/>
              <w:kinsoku w:val="0"/>
              <w:autoSpaceDE w:val="0"/>
              <w:autoSpaceDN w:val="0"/>
              <w:snapToGrid w:val="0"/>
              <w:spacing w:line="240" w:lineRule="auto"/>
              <w:ind w:left="252" w:firstLine="210" w:firstLineChars="100"/>
              <w:jc w:val="left"/>
              <w:rPr>
                <w:rFonts w:ascii="仿宋_GB2312" w:hAnsi="Times New Roman" w:eastAsia="仿宋_GB2312" w:cs="Times New Roman"/>
                <w:sz w:val="21"/>
                <w:szCs w:val="21"/>
                <w:lang w:eastAsia="zh-CN"/>
              </w:rPr>
            </w:pPr>
            <w:r>
              <w:rPr>
                <w:rFonts w:hint="eastAsia" w:ascii="仿宋_GB2312" w:hAnsi="Times New Roman" w:eastAsia="仿宋_GB2312" w:cs="Times New Roman"/>
                <w:sz w:val="21"/>
                <w:szCs w:val="21"/>
                <w:lang w:eastAsia="zh-CN"/>
              </w:rPr>
              <w:t>本项目预计实施期限</w:t>
            </w:r>
            <w:r>
              <w:rPr>
                <w:rFonts w:hint="eastAsia" w:ascii="仿宋_GB2312" w:hAnsi="Times New Roman" w:eastAsia="仿宋_GB2312" w:cs="Times New Roman"/>
                <w:sz w:val="21"/>
                <w:szCs w:val="21"/>
                <w:lang w:val="en-US" w:eastAsia="zh-CN"/>
              </w:rPr>
              <w:t>3</w:t>
            </w:r>
            <w:r>
              <w:rPr>
                <w:rFonts w:hint="eastAsia" w:ascii="仿宋_GB2312" w:hAnsi="Times New Roman" w:eastAsia="仿宋_GB2312" w:cs="Times New Roman"/>
                <w:sz w:val="21"/>
                <w:szCs w:val="21"/>
                <w:lang w:eastAsia="zh-CN"/>
              </w:rPr>
              <w:t>年。</w:t>
            </w:r>
          </w:p>
        </w:tc>
      </w:tr>
      <w:tr w14:paraId="76EF2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9" w:hRule="atLeast"/>
          <w:jc w:val="center"/>
        </w:trPr>
        <w:tc>
          <w:tcPr>
            <w:tcW w:w="1177" w:type="dxa"/>
            <w:noWrap w:val="0"/>
            <w:vAlign w:val="center"/>
          </w:tcPr>
          <w:p w14:paraId="41DB8449">
            <w:pPr>
              <w:pStyle w:val="7"/>
              <w:widowControl/>
              <w:kinsoku w:val="0"/>
              <w:autoSpaceDE w:val="0"/>
              <w:autoSpaceDN w:val="0"/>
              <w:snapToGrid w:val="0"/>
              <w:spacing w:line="240" w:lineRule="auto"/>
              <w:jc w:val="center"/>
              <w:rPr>
                <w:rFonts w:hint="eastAsia" w:ascii="黑体" w:hAnsi="Times New Roman" w:eastAsia="黑体" w:cs="Times New Roman"/>
                <w:color w:val="000000"/>
                <w:sz w:val="21"/>
                <w:szCs w:val="21"/>
                <w:lang w:eastAsia="zh-CN"/>
              </w:rPr>
            </w:pPr>
            <w:r>
              <w:rPr>
                <w:rFonts w:hint="eastAsia" w:ascii="黑体" w:hAnsi="Times New Roman" w:eastAsia="黑体" w:cs="Times New Roman"/>
                <w:color w:val="000000"/>
                <w:sz w:val="21"/>
                <w:szCs w:val="21"/>
                <w:lang w:eastAsia="zh-CN"/>
              </w:rPr>
              <w:t>揭榜对象</w:t>
            </w:r>
          </w:p>
          <w:p w14:paraId="49D9BF80">
            <w:pPr>
              <w:pStyle w:val="7"/>
              <w:widowControl/>
              <w:kinsoku w:val="0"/>
              <w:autoSpaceDE w:val="0"/>
              <w:autoSpaceDN w:val="0"/>
              <w:snapToGrid w:val="0"/>
              <w:spacing w:line="240" w:lineRule="auto"/>
              <w:jc w:val="center"/>
              <w:rPr>
                <w:rFonts w:ascii="黑体" w:hAnsi="Times New Roman" w:eastAsia="黑体" w:cs="Times New Roman"/>
                <w:color w:val="000000"/>
                <w:sz w:val="21"/>
                <w:szCs w:val="21"/>
                <w:lang w:eastAsia="zh-CN"/>
              </w:rPr>
            </w:pPr>
            <w:r>
              <w:rPr>
                <w:rFonts w:hint="eastAsia" w:ascii="黑体" w:hAnsi="Times New Roman" w:eastAsia="黑体" w:cs="Times New Roman"/>
                <w:color w:val="000000"/>
                <w:sz w:val="21"/>
                <w:szCs w:val="21"/>
                <w:lang w:eastAsia="zh-CN"/>
              </w:rPr>
              <w:t>条件要求</w:t>
            </w:r>
          </w:p>
        </w:tc>
        <w:tc>
          <w:tcPr>
            <w:tcW w:w="7962" w:type="dxa"/>
            <w:gridSpan w:val="2"/>
            <w:noWrap w:val="0"/>
            <w:vAlign w:val="top"/>
          </w:tcPr>
          <w:p w14:paraId="0C9FDAC5">
            <w:pPr>
              <w:pStyle w:val="2"/>
              <w:keepNext w:val="0"/>
              <w:keepLines w:val="0"/>
              <w:pageBreakBefore w:val="0"/>
              <w:widowControl w:val="0"/>
              <w:kinsoku/>
              <w:wordWrap/>
              <w:overflowPunct/>
              <w:topLinePunct w:val="0"/>
              <w:autoSpaceDE/>
              <w:autoSpaceDN/>
              <w:bidi w:val="0"/>
              <w:adjustRightInd w:val="0"/>
              <w:snapToGrid/>
              <w:spacing w:line="240" w:lineRule="auto"/>
              <w:textAlignment w:val="baseline"/>
              <w:rPr>
                <w:rFonts w:hint="default" w:ascii="仿宋_GB2312" w:hAnsi="仿宋_GB2312" w:eastAsia="仿宋_GB2312" w:cs="仿宋_GB2312"/>
                <w:sz w:val="21"/>
                <w:szCs w:val="21"/>
                <w:lang w:val="en-US" w:eastAsia="zh-Hans"/>
              </w:rPr>
            </w:pPr>
            <w:r>
              <w:rPr>
                <w:rFonts w:hint="default" w:ascii="仿宋_GB2312" w:hAnsi="仿宋_GB2312" w:eastAsia="仿宋_GB2312" w:cs="仿宋_GB2312"/>
                <w:sz w:val="21"/>
                <w:szCs w:val="21"/>
                <w:lang w:eastAsia="zh-Hans"/>
              </w:rPr>
              <w:t>1</w:t>
            </w:r>
            <w:r>
              <w:rPr>
                <w:rFonts w:hint="eastAsia" w:ascii="仿宋_GB2312" w:hAnsi="仿宋_GB2312" w:eastAsia="仿宋_GB2312" w:cs="仿宋_GB2312"/>
                <w:sz w:val="21"/>
                <w:szCs w:val="21"/>
                <w:lang w:eastAsia="zh-Hans"/>
              </w:rPr>
              <w:t>）</w:t>
            </w:r>
            <w:r>
              <w:rPr>
                <w:rFonts w:hint="default" w:ascii="仿宋_GB2312" w:hAnsi="仿宋_GB2312" w:eastAsia="仿宋_GB2312" w:cs="仿宋_GB2312"/>
                <w:sz w:val="21"/>
                <w:szCs w:val="21"/>
                <w:lang w:val="en-US" w:eastAsia="zh-Hans"/>
              </w:rPr>
              <w:t>202</w:t>
            </w:r>
            <w:r>
              <w:rPr>
                <w:rFonts w:hint="eastAsia" w:ascii="仿宋_GB2312" w:hAnsi="仿宋_GB2312" w:eastAsia="仿宋_GB2312" w:cs="仿宋_GB2312"/>
                <w:sz w:val="21"/>
                <w:szCs w:val="21"/>
                <w:lang w:val="en-US" w:eastAsia="zh-CN"/>
              </w:rPr>
              <w:t>4</w:t>
            </w:r>
            <w:r>
              <w:rPr>
                <w:rFonts w:hint="default" w:ascii="仿宋_GB2312" w:hAnsi="仿宋_GB2312" w:eastAsia="仿宋_GB2312" w:cs="仿宋_GB2312"/>
                <w:sz w:val="21"/>
                <w:szCs w:val="21"/>
                <w:lang w:val="en-US" w:eastAsia="zh-Hans"/>
              </w:rPr>
              <w:t>年1月1日前在</w:t>
            </w:r>
            <w:r>
              <w:rPr>
                <w:rFonts w:hint="eastAsia" w:ascii="仿宋_GB2312" w:hAnsi="仿宋_GB2312" w:eastAsia="仿宋_GB2312" w:cs="仿宋_GB2312"/>
                <w:sz w:val="21"/>
                <w:szCs w:val="21"/>
                <w:lang w:val="en-US" w:eastAsia="zh-CN"/>
              </w:rPr>
              <w:t>粤</w:t>
            </w:r>
            <w:r>
              <w:rPr>
                <w:rFonts w:hint="default" w:ascii="仿宋_GB2312" w:hAnsi="仿宋_GB2312" w:eastAsia="仿宋_GB2312" w:cs="仿宋_GB2312"/>
                <w:sz w:val="21"/>
                <w:szCs w:val="21"/>
                <w:lang w:val="en-US" w:eastAsia="zh-Hans"/>
              </w:rPr>
              <w:t>全职工作</w:t>
            </w:r>
            <w:r>
              <w:rPr>
                <w:rFonts w:hint="eastAsia" w:ascii="仿宋_GB2312" w:hAnsi="仿宋_GB2312" w:eastAsia="仿宋_GB2312" w:cs="仿宋_GB2312"/>
                <w:sz w:val="21"/>
                <w:szCs w:val="21"/>
                <w:lang w:val="en-US" w:eastAsia="zh-CN"/>
              </w:rPr>
              <w:t>，</w:t>
            </w:r>
            <w:r>
              <w:rPr>
                <w:rFonts w:hint="default" w:ascii="仿宋_GB2312" w:hAnsi="仿宋_GB2312" w:eastAsia="仿宋_GB2312" w:cs="仿宋_GB2312"/>
                <w:sz w:val="21"/>
                <w:szCs w:val="21"/>
                <w:lang w:val="en-US" w:eastAsia="zh-Hans"/>
              </w:rPr>
              <w:t>入选后全职在校工作3年以上。</w:t>
            </w:r>
          </w:p>
          <w:p w14:paraId="12214493">
            <w:pPr>
              <w:pStyle w:val="2"/>
              <w:keepNext w:val="0"/>
              <w:keepLines w:val="0"/>
              <w:pageBreakBefore w:val="0"/>
              <w:widowControl w:val="0"/>
              <w:kinsoku/>
              <w:wordWrap/>
              <w:overflowPunct/>
              <w:topLinePunct w:val="0"/>
              <w:autoSpaceDE/>
              <w:autoSpaceDN/>
              <w:bidi w:val="0"/>
              <w:adjustRightInd w:val="0"/>
              <w:snapToGrid/>
              <w:spacing w:line="240" w:lineRule="auto"/>
              <w:textAlignment w:val="baseline"/>
              <w:rPr>
                <w:rFonts w:hint="default" w:ascii="仿宋_GB2312" w:hAnsi="仿宋_GB2312" w:eastAsia="仿宋_GB2312" w:cs="仿宋_GB2312"/>
                <w:sz w:val="21"/>
                <w:szCs w:val="21"/>
                <w:lang w:val="en-US" w:eastAsia="zh-Hans"/>
              </w:rPr>
            </w:pPr>
            <w:r>
              <w:rPr>
                <w:rFonts w:hint="default" w:ascii="仿宋_GB2312" w:hAnsi="仿宋_GB2312" w:eastAsia="仿宋_GB2312" w:cs="仿宋_GB2312"/>
                <w:sz w:val="21"/>
                <w:szCs w:val="21"/>
                <w:lang w:eastAsia="zh-Hans"/>
              </w:rPr>
              <w:t>2</w:t>
            </w:r>
            <w:r>
              <w:rPr>
                <w:rFonts w:hint="eastAsia" w:ascii="仿宋_GB2312" w:hAnsi="仿宋_GB2312" w:eastAsia="仿宋_GB2312" w:cs="仿宋_GB2312"/>
                <w:sz w:val="21"/>
                <w:szCs w:val="21"/>
                <w:lang w:eastAsia="zh-Hans"/>
              </w:rPr>
              <w:t>）</w:t>
            </w:r>
            <w:r>
              <w:rPr>
                <w:rFonts w:hint="eastAsia" w:ascii="仿宋_GB2312" w:hAnsi="仿宋_GB2312" w:eastAsia="仿宋_GB2312" w:cs="仿宋_GB2312"/>
                <w:sz w:val="21"/>
                <w:szCs w:val="21"/>
                <w:lang w:val="en-US" w:eastAsia="zh-Hans"/>
              </w:rPr>
              <w:t>拥护中华人民共和国宪法，遵守国家法律法规，不得反对中国共产党的领导和中国特色社会主义制度，品行端正，严守科研诚信</w:t>
            </w:r>
            <w:r>
              <w:rPr>
                <w:rFonts w:hint="default" w:ascii="仿宋_GB2312" w:hAnsi="仿宋_GB2312" w:eastAsia="仿宋_GB2312" w:cs="仿宋_GB2312"/>
                <w:sz w:val="21"/>
                <w:szCs w:val="21"/>
                <w:lang w:val="en-US" w:eastAsia="zh-Hans"/>
              </w:rPr>
              <w:t>。</w:t>
            </w:r>
          </w:p>
          <w:p w14:paraId="475AE239">
            <w:pPr>
              <w:pStyle w:val="2"/>
              <w:keepNext w:val="0"/>
              <w:keepLines w:val="0"/>
              <w:pageBreakBefore w:val="0"/>
              <w:widowControl w:val="0"/>
              <w:kinsoku/>
              <w:wordWrap/>
              <w:overflowPunct/>
              <w:topLinePunct w:val="0"/>
              <w:autoSpaceDE/>
              <w:autoSpaceDN/>
              <w:bidi w:val="0"/>
              <w:adjustRightInd w:val="0"/>
              <w:snapToGrid/>
              <w:spacing w:line="240" w:lineRule="auto"/>
              <w:textAlignment w:val="baseline"/>
              <w:rPr>
                <w:rFonts w:hint="default" w:ascii="仿宋_GB2312" w:hAnsi="仿宋_GB2312" w:eastAsia="仿宋_GB2312" w:cs="仿宋_GB2312"/>
                <w:sz w:val="21"/>
                <w:szCs w:val="21"/>
                <w:lang w:val="en-US" w:eastAsia="zh-Hans"/>
              </w:rPr>
            </w:pPr>
            <w:r>
              <w:rPr>
                <w:rFonts w:hint="default" w:ascii="仿宋_GB2312" w:hAnsi="仿宋_GB2312" w:eastAsia="仿宋_GB2312" w:cs="仿宋_GB2312"/>
                <w:sz w:val="21"/>
                <w:szCs w:val="21"/>
                <w:lang w:eastAsia="zh-Hans"/>
              </w:rPr>
              <w:t>3</w:t>
            </w:r>
            <w:r>
              <w:rPr>
                <w:rFonts w:hint="eastAsia" w:ascii="仿宋_GB2312" w:hAnsi="仿宋_GB2312" w:eastAsia="仿宋_GB2312" w:cs="仿宋_GB2312"/>
                <w:sz w:val="21"/>
                <w:szCs w:val="21"/>
                <w:lang w:eastAsia="zh-Hans"/>
              </w:rPr>
              <w:t>）</w:t>
            </w:r>
            <w:r>
              <w:rPr>
                <w:rFonts w:hint="default" w:ascii="仿宋_GB2312" w:hAnsi="仿宋_GB2312" w:eastAsia="仿宋_GB2312" w:cs="仿宋_GB2312"/>
                <w:sz w:val="21"/>
                <w:szCs w:val="21"/>
                <w:lang w:val="en-US" w:eastAsia="zh-Hans"/>
              </w:rPr>
              <w:t>具有高尚的道德情操，恪守高校教师师德行为规范、学术道德规范等职业道德规范，学风严谨，为人正派，做“四有”好老师。</w:t>
            </w:r>
          </w:p>
          <w:p w14:paraId="2C528CC3">
            <w:pPr>
              <w:pStyle w:val="2"/>
              <w:keepNext w:val="0"/>
              <w:keepLines w:val="0"/>
              <w:pageBreakBefore w:val="0"/>
              <w:widowControl w:val="0"/>
              <w:kinsoku/>
              <w:wordWrap/>
              <w:overflowPunct/>
              <w:topLinePunct w:val="0"/>
              <w:autoSpaceDE/>
              <w:autoSpaceDN/>
              <w:bidi w:val="0"/>
              <w:adjustRightInd w:val="0"/>
              <w:snapToGrid/>
              <w:spacing w:line="240" w:lineRule="auto"/>
              <w:textAlignment w:val="baseline"/>
              <w:rPr>
                <w:rFonts w:hint="default" w:ascii="仿宋_GB2312" w:hAnsi="仿宋_GB2312" w:eastAsia="仿宋_GB2312" w:cs="仿宋_GB2312"/>
                <w:sz w:val="21"/>
                <w:szCs w:val="21"/>
                <w:lang w:val="en-US" w:eastAsia="zh-CN"/>
              </w:rPr>
            </w:pPr>
            <w:r>
              <w:rPr>
                <w:rFonts w:hint="default" w:ascii="仿宋_GB2312" w:hAnsi="仿宋_GB2312" w:eastAsia="仿宋_GB2312" w:cs="仿宋_GB2312"/>
                <w:sz w:val="21"/>
                <w:szCs w:val="21"/>
                <w:lang w:eastAsia="zh-Hans"/>
              </w:rPr>
              <w:t>4</w:t>
            </w:r>
            <w:r>
              <w:rPr>
                <w:rFonts w:hint="eastAsia" w:ascii="仿宋_GB2312" w:hAnsi="仿宋_GB2312" w:eastAsia="仿宋_GB2312" w:cs="仿宋_GB2312"/>
                <w:sz w:val="21"/>
                <w:szCs w:val="21"/>
                <w:lang w:eastAsia="zh-Hans"/>
              </w:rPr>
              <w:t>）</w:t>
            </w:r>
            <w:r>
              <w:rPr>
                <w:rFonts w:hint="eastAsia" w:ascii="仿宋_GB2312" w:hAnsi="仿宋_GB2312" w:eastAsia="仿宋_GB2312" w:cs="仿宋_GB2312"/>
                <w:sz w:val="21"/>
                <w:szCs w:val="21"/>
                <w:lang w:val="en-US" w:eastAsia="zh-CN"/>
              </w:rPr>
              <w:t>年龄</w:t>
            </w:r>
            <w:r>
              <w:rPr>
                <w:rFonts w:hint="default" w:ascii="仿宋_GB2312" w:hAnsi="仿宋_GB2312" w:eastAsia="仿宋_GB2312" w:cs="仿宋_GB2312"/>
                <w:sz w:val="21"/>
                <w:szCs w:val="21"/>
                <w:lang w:val="en-US" w:eastAsia="zh-Hans"/>
              </w:rPr>
              <w:t>不超过45周岁(</w:t>
            </w:r>
            <w:r>
              <w:rPr>
                <w:rFonts w:hint="eastAsia" w:ascii="仿宋_GB2312" w:hAnsi="仿宋_GB2312" w:eastAsia="仿宋_GB2312" w:cs="仿宋_GB2312"/>
                <w:sz w:val="21"/>
                <w:szCs w:val="21"/>
                <w:lang w:val="en-US" w:eastAsia="zh-CN"/>
              </w:rPr>
              <w:t>出生年月在</w:t>
            </w:r>
            <w:r>
              <w:rPr>
                <w:rFonts w:hint="default" w:ascii="仿宋_GB2312" w:hAnsi="仿宋_GB2312" w:eastAsia="仿宋_GB2312" w:cs="仿宋_GB2312"/>
                <w:sz w:val="21"/>
                <w:szCs w:val="21"/>
                <w:lang w:val="en-US" w:eastAsia="zh-Hans"/>
              </w:rPr>
              <w:t>19</w:t>
            </w:r>
            <w:r>
              <w:rPr>
                <w:rFonts w:hint="eastAsia" w:ascii="仿宋_GB2312" w:hAnsi="仿宋_GB2312" w:eastAsia="仿宋_GB2312" w:cs="仿宋_GB2312"/>
                <w:sz w:val="21"/>
                <w:szCs w:val="21"/>
                <w:lang w:val="en-US" w:eastAsia="zh-CN"/>
              </w:rPr>
              <w:t>80</w:t>
            </w:r>
            <w:r>
              <w:rPr>
                <w:rFonts w:hint="default" w:ascii="仿宋_GB2312" w:hAnsi="仿宋_GB2312" w:eastAsia="仿宋_GB2312" w:cs="仿宋_GB2312"/>
                <w:sz w:val="21"/>
                <w:szCs w:val="21"/>
                <w:lang w:val="en-US" w:eastAsia="zh-Hans"/>
              </w:rPr>
              <w:t>年1月1日</w:t>
            </w:r>
            <w:r>
              <w:rPr>
                <w:rFonts w:hint="eastAsia" w:ascii="仿宋_GB2312" w:hAnsi="仿宋_GB2312" w:eastAsia="仿宋_GB2312" w:cs="仿宋_GB2312"/>
                <w:sz w:val="21"/>
                <w:szCs w:val="21"/>
                <w:lang w:val="en-US" w:eastAsia="zh-CN"/>
              </w:rPr>
              <w:t>及</w:t>
            </w:r>
            <w:r>
              <w:rPr>
                <w:rFonts w:hint="default" w:ascii="仿宋_GB2312" w:hAnsi="仿宋_GB2312" w:eastAsia="仿宋_GB2312" w:cs="仿宋_GB2312"/>
                <w:sz w:val="21"/>
                <w:szCs w:val="21"/>
                <w:lang w:val="en-US" w:eastAsia="zh-Hans"/>
              </w:rPr>
              <w:t>以后)</w:t>
            </w:r>
            <w:r>
              <w:rPr>
                <w:rFonts w:hint="eastAsia" w:ascii="仿宋_GB2312" w:hAnsi="仿宋_GB2312" w:eastAsia="仿宋_GB2312" w:cs="仿宋_GB2312"/>
                <w:sz w:val="21"/>
                <w:szCs w:val="21"/>
                <w:lang w:val="en-US" w:eastAsia="zh-Hans"/>
              </w:rPr>
              <w:t>，</w:t>
            </w:r>
            <w:r>
              <w:rPr>
                <w:rFonts w:hint="default" w:ascii="仿宋_GB2312" w:hAnsi="仿宋_GB2312" w:eastAsia="仿宋_GB2312" w:cs="仿宋_GB2312"/>
                <w:sz w:val="21"/>
                <w:szCs w:val="21"/>
                <w:lang w:val="en-US" w:eastAsia="zh-Hans"/>
              </w:rPr>
              <w:t>具有博士学位，担任教授或相应职务。</w:t>
            </w:r>
            <w:r>
              <w:rPr>
                <w:rFonts w:hint="eastAsia" w:ascii="仿宋_GB2312" w:hAnsi="仿宋_GB2312" w:eastAsia="仿宋_GB2312" w:cs="仿宋_GB2312"/>
                <w:sz w:val="21"/>
                <w:szCs w:val="21"/>
                <w:lang w:val="en-US" w:eastAsia="zh-CN"/>
              </w:rPr>
              <w:t>女性申报者在以上要求上放宽2岁。</w:t>
            </w:r>
          </w:p>
          <w:p w14:paraId="478B047C">
            <w:pPr>
              <w:pStyle w:val="2"/>
              <w:keepNext w:val="0"/>
              <w:keepLines w:val="0"/>
              <w:pageBreakBefore w:val="0"/>
              <w:widowControl w:val="0"/>
              <w:kinsoku/>
              <w:wordWrap/>
              <w:overflowPunct/>
              <w:topLinePunct w:val="0"/>
              <w:autoSpaceDE/>
              <w:autoSpaceDN/>
              <w:bidi w:val="0"/>
              <w:adjustRightInd w:val="0"/>
              <w:snapToGrid/>
              <w:spacing w:line="240" w:lineRule="auto"/>
              <w:textAlignment w:val="baseline"/>
              <w:rPr>
                <w:rFonts w:hint="default" w:ascii="仿宋_GB2312" w:hAnsi="仿宋_GB2312" w:eastAsia="仿宋_GB2312" w:cs="仿宋_GB2312"/>
                <w:sz w:val="21"/>
                <w:szCs w:val="21"/>
                <w:lang w:val="en-US" w:eastAsia="zh-Hans"/>
              </w:rPr>
            </w:pPr>
            <w:r>
              <w:rPr>
                <w:rFonts w:hint="eastAsia" w:ascii="仿宋_GB2312" w:hAnsi="仿宋_GB2312" w:eastAsia="仿宋_GB2312" w:cs="仿宋_GB2312"/>
                <w:sz w:val="21"/>
                <w:szCs w:val="21"/>
                <w:lang w:val="en-US" w:eastAsia="zh-CN"/>
              </w:rPr>
              <w:t>5</w:t>
            </w:r>
            <w:r>
              <w:rPr>
                <w:rFonts w:hint="eastAsia" w:ascii="仿宋_GB2312" w:hAnsi="仿宋_GB2312" w:eastAsia="仿宋_GB2312" w:cs="仿宋_GB2312"/>
                <w:sz w:val="21"/>
                <w:szCs w:val="21"/>
                <w:lang w:eastAsia="zh-Hans"/>
              </w:rPr>
              <w:t>）</w:t>
            </w:r>
            <w:r>
              <w:rPr>
                <w:rFonts w:hint="default" w:ascii="仿宋_GB2312" w:hAnsi="仿宋_GB2312" w:eastAsia="仿宋_GB2312" w:cs="仿宋_GB2312"/>
                <w:sz w:val="21"/>
                <w:szCs w:val="21"/>
                <w:lang w:val="en-US" w:eastAsia="zh-Hans"/>
              </w:rPr>
              <w:t>在教学、科研、生产实践一线工作，身体健康。</w:t>
            </w:r>
          </w:p>
          <w:p w14:paraId="397B89F1">
            <w:pPr>
              <w:pStyle w:val="2"/>
              <w:keepNext w:val="0"/>
              <w:keepLines w:val="0"/>
              <w:pageBreakBefore w:val="0"/>
              <w:widowControl w:val="0"/>
              <w:kinsoku/>
              <w:wordWrap/>
              <w:overflowPunct/>
              <w:topLinePunct w:val="0"/>
              <w:autoSpaceDE/>
              <w:autoSpaceDN/>
              <w:bidi w:val="0"/>
              <w:adjustRightInd w:val="0"/>
              <w:snapToGrid/>
              <w:spacing w:line="240" w:lineRule="auto"/>
              <w:textAlignment w:val="baseline"/>
              <w:rPr>
                <w:rFonts w:ascii="仿宋_GB2312" w:hAnsi="Times New Roman" w:eastAsia="仿宋_GB2312" w:cs="Times New Roman"/>
                <w:sz w:val="21"/>
                <w:szCs w:val="21"/>
                <w:lang w:eastAsia="zh-CN"/>
              </w:rPr>
            </w:pPr>
            <w:r>
              <w:rPr>
                <w:rFonts w:hint="eastAsia" w:ascii="仿宋_GB2312" w:hAnsi="仿宋_GB2312" w:eastAsia="仿宋_GB2312" w:cs="仿宋_GB2312"/>
                <w:sz w:val="21"/>
                <w:szCs w:val="21"/>
                <w:lang w:val="en-US" w:eastAsia="zh-CN"/>
              </w:rPr>
              <w:t>6</w:t>
            </w:r>
            <w:r>
              <w:rPr>
                <w:rFonts w:hint="eastAsia" w:ascii="仿宋_GB2312" w:hAnsi="仿宋_GB2312" w:eastAsia="仿宋_GB2312" w:cs="仿宋_GB2312"/>
                <w:sz w:val="21"/>
                <w:szCs w:val="21"/>
                <w:lang w:eastAsia="zh-Hans"/>
              </w:rPr>
              <w:t>）</w:t>
            </w:r>
            <w:r>
              <w:rPr>
                <w:rFonts w:hint="eastAsia" w:ascii="仿宋_GB2312" w:hAnsi="仿宋_GB2312" w:eastAsia="仿宋_GB2312" w:cs="仿宋_GB2312"/>
                <w:sz w:val="21"/>
                <w:szCs w:val="21"/>
                <w:lang w:val="en-US" w:eastAsia="zh-CN"/>
              </w:rPr>
              <w:t>近5年，主讲有食品类</w:t>
            </w:r>
            <w:r>
              <w:rPr>
                <w:rFonts w:hint="default" w:ascii="仿宋_GB2312" w:hAnsi="仿宋_GB2312" w:eastAsia="仿宋_GB2312" w:cs="仿宋_GB2312"/>
                <w:sz w:val="21"/>
                <w:szCs w:val="21"/>
                <w:lang w:val="en-US" w:eastAsia="zh-Hans"/>
              </w:rPr>
              <w:t>专业主干课程教学任务</w:t>
            </w:r>
            <w:r>
              <w:rPr>
                <w:rFonts w:hint="eastAsia" w:ascii="仿宋_GB2312" w:hAnsi="仿宋_GB2312" w:eastAsia="仿宋_GB2312" w:cs="仿宋_GB2312"/>
                <w:sz w:val="21"/>
                <w:szCs w:val="21"/>
                <w:lang w:val="en-US" w:eastAsia="zh-CN"/>
              </w:rPr>
              <w:t>，主持有国家级科研项目。</w:t>
            </w:r>
          </w:p>
        </w:tc>
      </w:tr>
    </w:tbl>
    <w:p w14:paraId="547524B2">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91B256"/>
    <w:multiLevelType w:val="singleLevel"/>
    <w:tmpl w:val="AC91B256"/>
    <w:lvl w:ilvl="0" w:tentative="0">
      <w:start w:val="1"/>
      <w:numFmt w:val="decimal"/>
      <w:suff w:val="nothing"/>
      <w:lvlText w:val="%1）"/>
      <w:lvlJc w:val="left"/>
    </w:lvl>
  </w:abstractNum>
  <w:abstractNum w:abstractNumId="1">
    <w:nsid w:val="5D574828"/>
    <w:multiLevelType w:val="singleLevel"/>
    <w:tmpl w:val="5D57482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hYzYzNWY3MzE5NTk1MTI1YzE1ODNmYmI2YTNkNjgifQ=="/>
  </w:docVars>
  <w:rsids>
    <w:rsidRoot w:val="58F549A4"/>
    <w:rsid w:val="05FA7C71"/>
    <w:rsid w:val="167E4F93"/>
    <w:rsid w:val="1B763D77"/>
    <w:rsid w:val="258A2947"/>
    <w:rsid w:val="271544D2"/>
    <w:rsid w:val="2ADE16C6"/>
    <w:rsid w:val="3C1E28BD"/>
    <w:rsid w:val="55384960"/>
    <w:rsid w:val="58F549A4"/>
    <w:rsid w:val="71451958"/>
    <w:rsid w:val="7B590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qFormat/>
    <w:uiPriority w:val="0"/>
    <w:rPr>
      <w:rFonts w:ascii="宋体" w:hAnsi="宋体" w:eastAsia="宋体"/>
    </w:rPr>
  </w:style>
  <w:style w:type="paragraph" w:customStyle="1" w:styleId="7">
    <w:name w:val="Table Text"/>
    <w:basedOn w:val="1"/>
    <w:semiHidden/>
    <w:qFormat/>
    <w:uiPriority w:val="0"/>
    <w:rPr>
      <w:rFonts w:ascii="宋体" w:hAnsi="宋体" w:cs="宋体"/>
      <w:sz w:val="27"/>
      <w:szCs w:val="27"/>
      <w:lang w:eastAsia="en-US"/>
    </w:rPr>
  </w:style>
  <w:style w:type="table" w:customStyle="1" w:styleId="8">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1030</Words>
  <Characters>1041</Characters>
  <Lines>0</Lines>
  <Paragraphs>0</Paragraphs>
  <TotalTime>49</TotalTime>
  <ScaleCrop>false</ScaleCrop>
  <LinksUpToDate>false</LinksUpToDate>
  <CharactersWithSpaces>1057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2025-09-09T08:10:00Z</dcterms:created>
  <dc:creator>lustar</dc:creator>
  <cp:lastModifiedBy>夏儆</cp:lastModifiedBy>
  <dcterms:modified xsi:type="dcterms:W3CDTF">2025-09-15T02:47:12Z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373AD73078A1422A919569D98B1F4BBA_13</vt:lpwstr>
  </property>
  <property fmtid="{D5CDD505-2E9C-101B-9397-08002B2CF9AE}" pid="4" name="KSOTemplateDocerSaveRecord">
    <vt:lpwstr>eyJoZGlkIjoiYzJlMTQwMGNjNjEyYWY2OWE3Njc1ODUxOTI2OTI4MTciLCJ1c2VySWQiOiI4NDIwMTIwOTcifQ==</vt:lpwstr>
  </property>
</Properties>
</file>