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2：评分表</w:t>
      </w:r>
    </w:p>
    <w:bookmarkEnd w:id="0"/>
    <w:tbl>
      <w:tblPr>
        <w:tblStyle w:val="6"/>
        <w:tblpPr w:leftFromText="180" w:rightFromText="180" w:vertAnchor="text" w:horzAnchor="page" w:tblpX="1022" w:tblpY="317"/>
        <w:tblOverlap w:val="never"/>
        <w:tblW w:w="57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76"/>
        <w:gridCol w:w="3932"/>
        <w:gridCol w:w="975"/>
        <w:gridCol w:w="998"/>
        <w:gridCol w:w="2041"/>
      </w:tblGrid>
      <w:tr w14:paraId="4B1A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3" w:type="pct"/>
            <w:vAlign w:val="center"/>
          </w:tcPr>
          <w:p w14:paraId="4EB3242B">
            <w:pPr>
              <w:widowControl/>
              <w:spacing w:before="75" w:after="75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501" w:type="pct"/>
            <w:vAlign w:val="center"/>
          </w:tcPr>
          <w:p w14:paraId="2BD44617">
            <w:pPr>
              <w:widowControl/>
              <w:spacing w:before="75" w:after="75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项目</w:t>
            </w:r>
          </w:p>
        </w:tc>
        <w:tc>
          <w:tcPr>
            <w:tcW w:w="2017" w:type="pct"/>
            <w:vAlign w:val="center"/>
          </w:tcPr>
          <w:p w14:paraId="15FF33D3">
            <w:pPr>
              <w:widowControl/>
              <w:spacing w:before="75" w:after="75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500" w:type="pct"/>
            <w:vAlign w:val="center"/>
          </w:tcPr>
          <w:p w14:paraId="0EDE9780">
            <w:pPr>
              <w:widowControl/>
              <w:spacing w:before="75" w:after="75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最高分值</w:t>
            </w:r>
          </w:p>
        </w:tc>
        <w:tc>
          <w:tcPr>
            <w:tcW w:w="512" w:type="pct"/>
            <w:vAlign w:val="center"/>
          </w:tcPr>
          <w:p w14:paraId="2F3E82AF">
            <w:pPr>
              <w:widowControl/>
              <w:spacing w:before="75" w:after="75"/>
              <w:jc w:val="center"/>
              <w:rPr>
                <w:rFonts w:hAnsi="宋体"/>
                <w:b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kern w:val="0"/>
                <w:sz w:val="18"/>
                <w:szCs w:val="18"/>
              </w:rPr>
              <w:t>评审得分</w:t>
            </w:r>
          </w:p>
        </w:tc>
        <w:tc>
          <w:tcPr>
            <w:tcW w:w="1044" w:type="pct"/>
            <w:vAlign w:val="center"/>
          </w:tcPr>
          <w:p w14:paraId="08BF8A42">
            <w:pPr>
              <w:widowControl/>
              <w:spacing w:before="75" w:after="75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kern w:val="0"/>
                <w:sz w:val="18"/>
                <w:szCs w:val="18"/>
              </w:rPr>
              <w:t>评分说明</w:t>
            </w:r>
          </w:p>
        </w:tc>
      </w:tr>
      <w:tr w14:paraId="01EC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423" w:type="pct"/>
            <w:vAlign w:val="center"/>
          </w:tcPr>
          <w:p w14:paraId="314F631F">
            <w:pPr>
              <w:widowControl/>
              <w:spacing w:before="75" w:after="75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01" w:type="pct"/>
            <w:vAlign w:val="center"/>
          </w:tcPr>
          <w:p w14:paraId="0688734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类似项目业绩</w:t>
            </w:r>
          </w:p>
        </w:tc>
        <w:tc>
          <w:tcPr>
            <w:tcW w:w="2017" w:type="pct"/>
          </w:tcPr>
          <w:p w14:paraId="445F8452">
            <w:pPr>
              <w:spacing w:line="36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以20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年至今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承接的项目计算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。</w:t>
            </w:r>
          </w:p>
          <w:p w14:paraId="04078E1E">
            <w:pPr>
              <w:spacing w:line="36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①基础分：提供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投资或建设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的类似项目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业绩可得基础分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分。</w:t>
            </w:r>
          </w:p>
          <w:p w14:paraId="093A4306">
            <w:pPr>
              <w:spacing w:line="36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②加分项：每多提供一个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2020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年以来已完成或新承接或正在施工的业绩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加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分。本项加分业绩项目不超过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个，加分值不超过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分。</w:t>
            </w:r>
          </w:p>
        </w:tc>
        <w:tc>
          <w:tcPr>
            <w:tcW w:w="500" w:type="pct"/>
            <w:vAlign w:val="center"/>
          </w:tcPr>
          <w:p w14:paraId="2600F60C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512" w:type="pct"/>
            <w:vAlign w:val="center"/>
          </w:tcPr>
          <w:p w14:paraId="3F9CBFD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44" w:type="pct"/>
            <w:vAlign w:val="center"/>
          </w:tcPr>
          <w:p w14:paraId="4AC2CBB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提供中标（选）通知书或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合同协议书</w:t>
            </w:r>
          </w:p>
        </w:tc>
      </w:tr>
      <w:tr w14:paraId="3B66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23" w:type="pct"/>
            <w:vAlign w:val="center"/>
          </w:tcPr>
          <w:p w14:paraId="5A59FB10">
            <w:pPr>
              <w:widowControl/>
              <w:spacing w:before="75" w:after="75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501" w:type="pct"/>
            <w:vAlign w:val="center"/>
          </w:tcPr>
          <w:p w14:paraId="09343D8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人员</w:t>
            </w:r>
          </w:p>
        </w:tc>
        <w:tc>
          <w:tcPr>
            <w:tcW w:w="2017" w:type="pct"/>
          </w:tcPr>
          <w:p w14:paraId="715A6986">
            <w:pPr>
              <w:spacing w:line="360" w:lineRule="exact"/>
              <w:rPr>
                <w:rFonts w:hint="eastAsia" w:ascii="宋体" w:hAnsi="宋体" w:eastAsia="仿宋_GB2312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满足招商公告在人员、技术、资金方面具有保障能力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500" w:type="pct"/>
            <w:vAlign w:val="center"/>
          </w:tcPr>
          <w:p w14:paraId="6E29509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12" w:type="pct"/>
            <w:vAlign w:val="center"/>
          </w:tcPr>
          <w:p w14:paraId="037F081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44" w:type="pct"/>
            <w:vAlign w:val="center"/>
          </w:tcPr>
          <w:p w14:paraId="7EC9FA8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5770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423" w:type="pct"/>
            <w:vAlign w:val="center"/>
          </w:tcPr>
          <w:p w14:paraId="6CA08684">
            <w:pPr>
              <w:widowControl/>
              <w:spacing w:before="75" w:after="75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501" w:type="pct"/>
            <w:vAlign w:val="center"/>
          </w:tcPr>
          <w:p w14:paraId="47C8D55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注册资金</w:t>
            </w:r>
          </w:p>
        </w:tc>
        <w:tc>
          <w:tcPr>
            <w:tcW w:w="2017" w:type="pct"/>
          </w:tcPr>
          <w:p w14:paraId="3AB7C608">
            <w:pPr>
              <w:spacing w:line="36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实缴注册资金达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万得基础分1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分。超过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000万元的，每增加1</w:t>
            </w:r>
            <w:r>
              <w:rPr>
                <w:rFonts w:ascii="宋体" w:hAnsi="宋体" w:cs="宋体"/>
                <w:color w:val="auto"/>
                <w:sz w:val="18"/>
                <w:szCs w:val="18"/>
              </w:rPr>
              <w:t>000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万加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分，加分值不超过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分。</w:t>
            </w:r>
          </w:p>
        </w:tc>
        <w:tc>
          <w:tcPr>
            <w:tcW w:w="500" w:type="pct"/>
            <w:vAlign w:val="center"/>
          </w:tcPr>
          <w:p w14:paraId="01A9BE36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12" w:type="pct"/>
            <w:vAlign w:val="center"/>
          </w:tcPr>
          <w:p w14:paraId="6D34F01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044" w:type="pct"/>
            <w:vAlign w:val="center"/>
          </w:tcPr>
          <w:p w14:paraId="277E75C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1EF9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423" w:type="pct"/>
            <w:vAlign w:val="center"/>
          </w:tcPr>
          <w:p w14:paraId="53904EEC">
            <w:pPr>
              <w:widowControl/>
              <w:spacing w:before="75" w:after="75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501" w:type="pct"/>
            <w:vAlign w:val="center"/>
          </w:tcPr>
          <w:p w14:paraId="4140335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财务状况</w:t>
            </w:r>
          </w:p>
        </w:tc>
        <w:tc>
          <w:tcPr>
            <w:tcW w:w="2017" w:type="pct"/>
            <w:vAlign w:val="center"/>
          </w:tcPr>
          <w:p w14:paraId="1E4F9496"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以申请人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eastAsia="zh-CN"/>
              </w:rPr>
              <w:t>近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3年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度经过会计事务所审计的财务报告进行评价，财务报告真实、完整且财务状况好的得5分；财务报告真实完整且财务状况良好的得4分；财务报告真实完整财务状况一般的得3分；财务报告不真实或不完整或财务状况较差的的不得分。</w:t>
            </w:r>
          </w:p>
        </w:tc>
        <w:tc>
          <w:tcPr>
            <w:tcW w:w="500" w:type="pct"/>
            <w:vAlign w:val="center"/>
          </w:tcPr>
          <w:p w14:paraId="1DF0443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512" w:type="pct"/>
            <w:vAlign w:val="center"/>
          </w:tcPr>
          <w:p w14:paraId="661F125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vAlign w:val="center"/>
          </w:tcPr>
          <w:p w14:paraId="35EDACD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188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423" w:type="pct"/>
            <w:vAlign w:val="center"/>
          </w:tcPr>
          <w:p w14:paraId="75D84917">
            <w:pPr>
              <w:widowControl/>
              <w:spacing w:before="75" w:after="75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501" w:type="pct"/>
            <w:vAlign w:val="center"/>
          </w:tcPr>
          <w:p w14:paraId="1183F62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实施方案</w:t>
            </w:r>
          </w:p>
        </w:tc>
        <w:tc>
          <w:tcPr>
            <w:tcW w:w="2017" w:type="pct"/>
            <w:vAlign w:val="center"/>
          </w:tcPr>
          <w:p w14:paraId="4DD941D9">
            <w:pPr>
              <w:spacing w:line="36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①实施方案切实可行，分值控制15分；</w:t>
            </w:r>
          </w:p>
          <w:p w14:paraId="4C11386E">
            <w:pPr>
              <w:spacing w:line="36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② 项目管理人员齐全、有相适应的设备配套，分值控制5分；</w:t>
            </w:r>
          </w:p>
          <w:p w14:paraId="121C6F09">
            <w:pPr>
              <w:spacing w:line="360" w:lineRule="exac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③ 资金等方面具有实施项目的能力，筹资或融资方案有保障，分值控制10分。</w:t>
            </w:r>
          </w:p>
        </w:tc>
        <w:tc>
          <w:tcPr>
            <w:tcW w:w="500" w:type="pct"/>
            <w:vAlign w:val="center"/>
          </w:tcPr>
          <w:p w14:paraId="7439529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512" w:type="pct"/>
            <w:vAlign w:val="center"/>
          </w:tcPr>
          <w:p w14:paraId="1464CF4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vAlign w:val="center"/>
          </w:tcPr>
          <w:p w14:paraId="6F1F5BC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</w:p>
        </w:tc>
      </w:tr>
      <w:tr w14:paraId="455E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93AF">
            <w:pPr>
              <w:widowControl/>
              <w:spacing w:before="75" w:after="75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501" w:type="pct"/>
            <w:vAlign w:val="center"/>
          </w:tcPr>
          <w:p w14:paraId="1E6F73D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综合得分</w:t>
            </w:r>
          </w:p>
        </w:tc>
        <w:tc>
          <w:tcPr>
            <w:tcW w:w="2017" w:type="pct"/>
            <w:vAlign w:val="center"/>
          </w:tcPr>
          <w:p w14:paraId="3DE0F9EA">
            <w:pPr>
              <w:spacing w:line="360" w:lineRule="exact"/>
              <w:jc w:val="left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上述1、2、3、4、5项累计情况。</w:t>
            </w:r>
          </w:p>
        </w:tc>
        <w:tc>
          <w:tcPr>
            <w:tcW w:w="500" w:type="pct"/>
            <w:vAlign w:val="center"/>
          </w:tcPr>
          <w:p w14:paraId="45896C7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512" w:type="pct"/>
            <w:vAlign w:val="center"/>
          </w:tcPr>
          <w:p w14:paraId="448C484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44" w:type="pct"/>
            <w:vAlign w:val="center"/>
          </w:tcPr>
          <w:p w14:paraId="42A4662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综合评审得分低于80分的申请人不能入选，综合得分最高的申请人中选。</w:t>
            </w:r>
          </w:p>
        </w:tc>
      </w:tr>
      <w:tr w14:paraId="38E2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FF433E">
            <w:pPr>
              <w:widowControl/>
              <w:spacing w:line="36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评标小组签名：</w:t>
            </w:r>
          </w:p>
        </w:tc>
      </w:tr>
      <w:tr w14:paraId="1CC5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66B7D7">
            <w:pPr>
              <w:widowControl/>
              <w:spacing w:line="360" w:lineRule="exact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监督签名：</w:t>
            </w:r>
          </w:p>
        </w:tc>
      </w:tr>
    </w:tbl>
    <w:p w14:paraId="4702FDEC">
      <w:pPr>
        <w:pStyle w:val="4"/>
        <w:ind w:left="0" w:leftChars="0" w:firstLine="0" w:firstLineChars="0"/>
        <w:rPr>
          <w:rFonts w:hint="eastAsia"/>
          <w:color w:val="auto"/>
          <w:lang w:eastAsia="zh-CN"/>
        </w:rPr>
      </w:pPr>
    </w:p>
    <w:p w14:paraId="7BD0EDF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437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24F53"/>
    <w:rsid w:val="40F24F53"/>
    <w:rsid w:val="47E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2025-07-08T02:23:00Z</dcterms:created>
  <dc:creator></dc:creator>
  <cp:lastModifiedBy></cp:lastModifiedBy>
  <dcterms:modified xsi:type="dcterms:W3CDTF">2025-07-08T02:24:04Z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9D2BA706C9BE407FB21FC13727CF8FBE_13</vt:lpwstr>
  </property>
  <property fmtid="{D5CDD505-2E9C-101B-9397-08002B2CF9AE}" pid="4" name="KSOTemplateDocerSaveRecord">
    <vt:lpwstr>eyJoZGlkIjoiYTU1NmU5YmE2NWYxZTY2MjMyN2ViYWZiMzkwZTkyNjYiLCJ1c2VySWQiOiI0MTkxODA4NzkifQ==</vt:lpwstr>
  </property>
</Properties>
</file>