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宋体" w:hAnsi="宋体" w:eastAsia="方正黑体_GBK" w:cs="方正黑体_GBK"/>
          <w:snapToGrid w:val="0"/>
          <w:color w:val="auto"/>
          <w:kern w:val="0"/>
          <w:sz w:val="33"/>
          <w:szCs w:val="33"/>
          <w:highlight w:val="none"/>
          <w:lang w:val="en-US" w:eastAsia="zh-CN"/>
        </w:rPr>
      </w:pPr>
      <w:r>
        <w:rPr>
          <w:rFonts w:hint="eastAsia" w:ascii="宋体" w:hAnsi="宋体" w:eastAsia="方正黑体_GBK" w:cs="方正黑体_GBK"/>
          <w:snapToGrid w:val="0"/>
          <w:color w:val="auto"/>
          <w:kern w:val="0"/>
          <w:sz w:val="33"/>
          <w:szCs w:val="33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资阳瑞达产业投资集团有限公司公开招聘人员岗位表</w:t>
      </w:r>
    </w:p>
    <w:p>
      <w:pPr>
        <w:spacing w:line="300" w:lineRule="exact"/>
        <w:rPr>
          <w:rFonts w:hint="eastAsia" w:ascii="宋体" w:hAnsi="宋体" w:eastAsia="方正仿宋_GBK"/>
          <w:snapToGrid w:val="0"/>
          <w:color w:val="auto"/>
          <w:kern w:val="0"/>
          <w:sz w:val="33"/>
          <w:szCs w:val="33"/>
          <w:highlight w:val="none"/>
        </w:rPr>
      </w:pPr>
    </w:p>
    <w:tbl>
      <w:tblPr>
        <w:tblStyle w:val="14"/>
        <w:tblW w:w="13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30"/>
        <w:gridCol w:w="542"/>
        <w:gridCol w:w="391"/>
        <w:gridCol w:w="677"/>
        <w:gridCol w:w="596"/>
        <w:gridCol w:w="4440"/>
        <w:gridCol w:w="4194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6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73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54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  <w:t>名额</w:t>
            </w:r>
          </w:p>
        </w:tc>
        <w:tc>
          <w:tcPr>
            <w:tcW w:w="39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67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  <w:t>学历学位要求</w:t>
            </w:r>
          </w:p>
        </w:tc>
        <w:tc>
          <w:tcPr>
            <w:tcW w:w="5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444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  <w:t>工作经历及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  <w:t>专业技能要求</w:t>
            </w:r>
          </w:p>
        </w:tc>
        <w:tc>
          <w:tcPr>
            <w:tcW w:w="419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</w:rPr>
              <w:t>岗位职责</w:t>
            </w:r>
          </w:p>
        </w:tc>
        <w:tc>
          <w:tcPr>
            <w:tcW w:w="91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2"/>
                <w:szCs w:val="22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56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综合行政部文秘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岗</w:t>
            </w:r>
          </w:p>
        </w:tc>
        <w:tc>
          <w:tcPr>
            <w:tcW w:w="54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 w:val="0"/>
              <w:topLinePunct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以下</w:t>
            </w:r>
          </w:p>
        </w:tc>
        <w:tc>
          <w:tcPr>
            <w:tcW w:w="67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（学士学位）</w:t>
            </w: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及以上</w:t>
            </w:r>
          </w:p>
        </w:tc>
        <w:tc>
          <w:tcPr>
            <w:tcW w:w="5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秘书学、汉语言文学等相关专业</w:t>
            </w:r>
          </w:p>
        </w:tc>
        <w:tc>
          <w:tcPr>
            <w:tcW w:w="444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1.2年及以上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文字</w:t>
            </w: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经历</w:t>
            </w: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 xml:space="preserve">；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2.敬业爱岗，有较强的沟通表达能力和文字写作功底；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3.能够熟练使用各类办公软件，具有图像、视频处理能力；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企业文化宣传经历，网站、公众号运营经验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5.中共党员、硕士研究生、特别优秀者可适当放宽专业、工作年限要求。</w:t>
            </w:r>
          </w:p>
        </w:tc>
        <w:tc>
          <w:tcPr>
            <w:tcW w:w="419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1.负责公司各类文件、报告的起草撰写；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2.负责公司宣传渠道、媒体资源、外宣新闻的建设与维护；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3.负责公司内外网站、公众号更新维护；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4.负责企业VI、品牌建设工作；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5.负责公司企业文化建设，组织策划公司员工活动；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6.负责集团重大活动的策划、组织、协调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7.完成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领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导交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办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的其他事宜。</w:t>
            </w:r>
          </w:p>
        </w:tc>
        <w:tc>
          <w:tcPr>
            <w:tcW w:w="91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56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3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融资管理部融资经理岗</w:t>
            </w:r>
          </w:p>
        </w:tc>
        <w:tc>
          <w:tcPr>
            <w:tcW w:w="54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39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岁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以下</w:t>
            </w:r>
          </w:p>
        </w:tc>
        <w:tc>
          <w:tcPr>
            <w:tcW w:w="67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以上</w:t>
            </w:r>
          </w:p>
        </w:tc>
        <w:tc>
          <w:tcPr>
            <w:tcW w:w="5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财务管理、会计学、金融学</w:t>
            </w:r>
            <w:r>
              <w:rPr>
                <w:rFonts w:hint="eastAsia" w:ascii="宋体" w:hAnsi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、经济学、工商管理</w:t>
            </w: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444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1.熟练掌握融资流程和专项业务流程，具有财务建模、剖析能力，有较强的金融产品设计能力，能配合金融机构设计融资模式；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2.拥有1年及以上银行、基金、信托、证券、城投类企业投融资、财务等相关工作经历；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3.具备较好的职业道德，有责任心，沟通协调能力，谈吐大方；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4.中共党员、硕士研究生、国企从业经历者、拥有较丰富的融资渠道和业内人脉关系者、特别优秀者可适当放宽年龄、专业要求。</w:t>
            </w:r>
          </w:p>
        </w:tc>
        <w:tc>
          <w:tcPr>
            <w:tcW w:w="419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21"/>
                <w:highlight w:val="none"/>
                <w:lang w:val="en-US" w:eastAsia="zh-CN"/>
              </w:rPr>
              <w:t>1.协助部门领导与金融机构/非金融机构、政府等单位的联络、接洽，建立广泛的信息来源渠道和良好的合作关系；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21"/>
                <w:highlight w:val="none"/>
                <w:lang w:val="en-US" w:eastAsia="zh-CN"/>
              </w:rPr>
              <w:t>2.向金融机构提供、收集、整理、分析、报送资料等工作；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21"/>
                <w:highlight w:val="none"/>
                <w:lang w:val="en-US" w:eastAsia="zh-CN"/>
              </w:rPr>
              <w:t>3.协助、参与融资商务谈判，归纳拟稿谈判内容并存档；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21"/>
                <w:highlight w:val="none"/>
                <w:lang w:val="en-US" w:eastAsia="zh-CN"/>
              </w:rPr>
              <w:t>4.拓展融资渠道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default" w:ascii="宋体" w:hAnsi="宋体" w:eastAsia="宋体"/>
                <w:sz w:val="18"/>
                <w:szCs w:val="21"/>
                <w:highlight w:val="no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5.协助具体融资工作报送申请、跟踪、审批等工作；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18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完成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领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导交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办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的其他事宜。</w:t>
            </w:r>
          </w:p>
        </w:tc>
        <w:tc>
          <w:tcPr>
            <w:tcW w:w="91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56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3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战略投资部投资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运营岗</w:t>
            </w:r>
          </w:p>
        </w:tc>
        <w:tc>
          <w:tcPr>
            <w:tcW w:w="54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岁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以下</w:t>
            </w:r>
          </w:p>
        </w:tc>
        <w:tc>
          <w:tcPr>
            <w:tcW w:w="67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宋体" w:cs="Times New Roman"/>
                <w:kern w:val="2"/>
                <w:sz w:val="1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5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18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能源（天然气）、投资、金融、工商管理等相关专业</w:t>
            </w:r>
          </w:p>
        </w:tc>
        <w:tc>
          <w:tcPr>
            <w:tcW w:w="444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1.具有扎实的能源、财务、法律、行业研究等相关专业知识，能独立完成项目调研并编制项目可研报告；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2.有3年以上项目投资经验，及熟悉投资业务的操作流程；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3.3年及以上投资项目的分析、调研、投资经历；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4.工作细致、认真、有责任心，具有良好的团队意识，有很强的服务意识具有良好的品格与职业操守，出众的领导管理才能团队组织协调能力强；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5.中共党员、</w:t>
            </w: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拥有中高级职称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专业资格的优先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6.特别优秀者可适当放宽年龄、专业、经历及工作年限要求。</w:t>
            </w:r>
          </w:p>
        </w:tc>
        <w:tc>
          <w:tcPr>
            <w:tcW w:w="419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1.根据公司发展战略，对天然气相关行业及投资项目进行可行性分析论证，编写可行性研究报告，为公司投资提供决策意见；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2.结合公司业务，对影响行业及公司的重大政策法规进行分析解读，并提出应对方案；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3.根据公司投资规划，项目拓展、前期策划、分析报告、投资方案、投资协议，参与项目前期商务谈判；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4.投资项目投资后的运营监督管理；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1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5.完成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领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导交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办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的其他事宜。</w:t>
            </w:r>
          </w:p>
        </w:tc>
        <w:tc>
          <w:tcPr>
            <w:tcW w:w="91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56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73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集团下属</w:t>
            </w:r>
            <w:r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商贸公司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运营</w:t>
            </w:r>
            <w:r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岗</w:t>
            </w:r>
          </w:p>
        </w:tc>
        <w:tc>
          <w:tcPr>
            <w:tcW w:w="54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岁及以下</w:t>
            </w:r>
          </w:p>
        </w:tc>
        <w:tc>
          <w:tcPr>
            <w:tcW w:w="67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5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市场营销、电子商务、工商管理、国际贸易等相关专业</w:t>
            </w:r>
          </w:p>
        </w:tc>
        <w:tc>
          <w:tcPr>
            <w:tcW w:w="444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1.具有2年及以上运营相关工作经验，熟悉采购管理、供应链管理、物流管理等专业知识，熟练掌握采购流程与成本控制方法，能熟练使用办公软件；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textAlignment w:val="auto"/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2.擅长销售技巧，可挖掘客户潜在需求并有效处理客户异议，具备市场分析能力，能洞察市场趋势并灵活调整销售策略；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3.沟通、抗压、学习能力强，拥有良好的沟通协调与分析能力，能够评估供应商资质与产品质量。</w:t>
            </w:r>
          </w:p>
        </w:tc>
        <w:tc>
          <w:tcPr>
            <w:tcW w:w="419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1.开展市场调研，精准分析市场动态与客户需求，制定执行计划，同时负责销售团队及渠道的组建、培训、指导、评估工作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制定与执行公司销售政策，涵盖销售模式、战略与预算规划，积极维护现有客户关系并拓展潜在客户，建立稳固销售渠道，跟踪销售业绩，保障货款按时回收，深入分析销售数据以优化销售策略，及时解决销售过程中的各类问题并为团队提供有力支持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负责电子商务平台贸易链的搭建、运营与拓展，定期对公司业务相关市场动态进行监测与分析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制定并实施采购策略，明确采购目标、预算分配及时间节点安排，全面负责供应商的开发、筛选、评估与持续监督，保证供应商能满足企业标准与需求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高效处理采购订单，严格监督订单执行情况，确保下单准确及时、货物配送无误且交货周期在控，严谨管理公司购销合同，从签订到存档各环节严谨规范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构建并优化质量管控体系，严控货物与服务质量，有效防范与应对产品质量、物流延迟、供应短缺等供应链风险，持续优化采购流程，合理降低采购成本，精准制定采购计划，明确产品或服务的各项关键指标，如数量、类型、预算及交货时间等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广泛收集与深度分析市场信息，为采购决策提供科学依据，规范采购收据的管理与审批流程，积极协助财务部门进行成本把控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default" w:ascii="宋体" w:hAnsi="宋体"/>
                <w:sz w:val="18"/>
                <w:szCs w:val="21"/>
                <w:highlight w:val="none"/>
                <w:lang w:val="en-US" w:eastAsia="zh-CN"/>
              </w:rPr>
              <w:t>完成领导交办的其他事宜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91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56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73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集团下属</w:t>
            </w:r>
            <w:r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苌弘建筑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公司</w:t>
            </w:r>
            <w:r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项目技术岗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（机电、市政类）</w:t>
            </w:r>
          </w:p>
        </w:tc>
        <w:tc>
          <w:tcPr>
            <w:tcW w:w="54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45岁及以下</w:t>
            </w:r>
          </w:p>
        </w:tc>
        <w:tc>
          <w:tcPr>
            <w:tcW w:w="67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59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专业不限</w:t>
            </w:r>
          </w:p>
        </w:tc>
        <w:tc>
          <w:tcPr>
            <w:tcW w:w="444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1.具有5年以上从事现场生产技术管理的实践经验，能独立负责项目现场技术管理工作；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2.具有机电、市政专业的中级以上职称或者二级建造师及以上资格证书；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3.能熟练操作CAD制图、Word、Excel等基础办公软件；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4.掌握现代生产管理和技术管理的方法，有独立解决比较复杂的技术问题的能力。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5.熟悉建设领域各类技术规范、政策文件和相关要求，能快速适应各类工程领域；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6.身体健康，责任心强，善于沟通，能吃苦耐劳。</w:t>
            </w:r>
          </w:p>
        </w:tc>
        <w:tc>
          <w:tcPr>
            <w:tcW w:w="419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1.负责编写施工组织计划以及各类专项方案；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熟悉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所负责项目效果图、施工图等相关资料，对施工项目实地勘测，进行人员、工具、材料等需求分析；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3.对现场施工情况与效果图、施工图中不符合处提出合理施工变更。处理现场各类技术问题；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4.与项目团队、外部机构保持密切联系，确保施工计划与项目要求一致，及时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向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上级领导汇报施工进度和遇到的问题。指导施工队伍进行工作，确保施工质量和进度符合要求，同时关注施工队伍的工作状态，及时解决问题。与设计、采购、预算等部门保持协调，确保施工过程中的各项工作顺利进行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5.负责各个时间点内需要完善各种文件、资料完成；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6.完成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领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导交</w:t>
            </w:r>
            <w:r>
              <w:rPr>
                <w:rFonts w:hint="eastAsia" w:ascii="宋体" w:hAnsi="宋体"/>
                <w:sz w:val="18"/>
                <w:szCs w:val="21"/>
                <w:highlight w:val="none"/>
                <w:lang w:val="en-US" w:eastAsia="zh-CN"/>
              </w:rPr>
              <w:t>办</w:t>
            </w:r>
            <w:r>
              <w:rPr>
                <w:rFonts w:hint="eastAsia" w:ascii="宋体" w:hAnsi="宋体" w:eastAsia="宋体"/>
                <w:sz w:val="18"/>
                <w:szCs w:val="21"/>
                <w:highlight w:val="none"/>
                <w:lang w:val="en-US" w:eastAsia="zh-CN"/>
              </w:rPr>
              <w:t>的其他事宜。</w:t>
            </w:r>
          </w:p>
        </w:tc>
        <w:tc>
          <w:tcPr>
            <w:tcW w:w="91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highlight w:val="none"/>
                <w:lang w:val="en-US" w:eastAsia="zh-CN"/>
              </w:rPr>
              <w:t>面试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984" w:bottom="153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YWQ4NjU4ODBlMWM5YjdkM2YxZDJhZjE0Y2M2MGYifQ=="/>
  </w:docVars>
  <w:rsids>
    <w:rsidRoot w:val="00000000"/>
    <w:rsid w:val="001E721B"/>
    <w:rsid w:val="00696662"/>
    <w:rsid w:val="00EF7950"/>
    <w:rsid w:val="01331252"/>
    <w:rsid w:val="017F221B"/>
    <w:rsid w:val="01A65AC6"/>
    <w:rsid w:val="01F97C80"/>
    <w:rsid w:val="024B505A"/>
    <w:rsid w:val="02544369"/>
    <w:rsid w:val="027E0CEF"/>
    <w:rsid w:val="02A06AB9"/>
    <w:rsid w:val="02C041A1"/>
    <w:rsid w:val="0367615A"/>
    <w:rsid w:val="036858BE"/>
    <w:rsid w:val="03724869"/>
    <w:rsid w:val="038014BE"/>
    <w:rsid w:val="03BA1CCD"/>
    <w:rsid w:val="045D1075"/>
    <w:rsid w:val="052F40CD"/>
    <w:rsid w:val="05BE1FE7"/>
    <w:rsid w:val="06157AD8"/>
    <w:rsid w:val="062429D0"/>
    <w:rsid w:val="063B5D9A"/>
    <w:rsid w:val="06456D53"/>
    <w:rsid w:val="0717135A"/>
    <w:rsid w:val="07491710"/>
    <w:rsid w:val="07AE7133"/>
    <w:rsid w:val="08585DDB"/>
    <w:rsid w:val="0A4A3938"/>
    <w:rsid w:val="0A522FEF"/>
    <w:rsid w:val="0A5E690A"/>
    <w:rsid w:val="0A822C27"/>
    <w:rsid w:val="0A9317F4"/>
    <w:rsid w:val="0B3B17F7"/>
    <w:rsid w:val="0BB0365B"/>
    <w:rsid w:val="0BDF4EB4"/>
    <w:rsid w:val="0C637445"/>
    <w:rsid w:val="0CDC4D84"/>
    <w:rsid w:val="0CE642FD"/>
    <w:rsid w:val="0D3A3132"/>
    <w:rsid w:val="0DBA7538"/>
    <w:rsid w:val="0DDC6199"/>
    <w:rsid w:val="0E2D452E"/>
    <w:rsid w:val="0E7C659C"/>
    <w:rsid w:val="0E8F5EF6"/>
    <w:rsid w:val="0FD61CDB"/>
    <w:rsid w:val="10A8654A"/>
    <w:rsid w:val="10D7764C"/>
    <w:rsid w:val="111A58B6"/>
    <w:rsid w:val="11295CD8"/>
    <w:rsid w:val="113C3331"/>
    <w:rsid w:val="114710E3"/>
    <w:rsid w:val="12015736"/>
    <w:rsid w:val="12CE429F"/>
    <w:rsid w:val="130757AD"/>
    <w:rsid w:val="14313AB6"/>
    <w:rsid w:val="14940C20"/>
    <w:rsid w:val="15436065"/>
    <w:rsid w:val="156C42E5"/>
    <w:rsid w:val="15D46A57"/>
    <w:rsid w:val="1605505D"/>
    <w:rsid w:val="16547925"/>
    <w:rsid w:val="16C77384"/>
    <w:rsid w:val="16CD208A"/>
    <w:rsid w:val="185B2E7C"/>
    <w:rsid w:val="18B90B18"/>
    <w:rsid w:val="18CE20EA"/>
    <w:rsid w:val="18F11370"/>
    <w:rsid w:val="191C10A7"/>
    <w:rsid w:val="19761D22"/>
    <w:rsid w:val="19B248B2"/>
    <w:rsid w:val="19CE05F3"/>
    <w:rsid w:val="1AC03B2E"/>
    <w:rsid w:val="1ADF0DD3"/>
    <w:rsid w:val="1B4D19EC"/>
    <w:rsid w:val="1C2C61B8"/>
    <w:rsid w:val="1C9C690A"/>
    <w:rsid w:val="1CC30CC1"/>
    <w:rsid w:val="1CFF6EE9"/>
    <w:rsid w:val="1D0668A5"/>
    <w:rsid w:val="1D0F3839"/>
    <w:rsid w:val="1E081BFA"/>
    <w:rsid w:val="1E733517"/>
    <w:rsid w:val="1ECB3722"/>
    <w:rsid w:val="1F487B04"/>
    <w:rsid w:val="1F4F2771"/>
    <w:rsid w:val="1F5350F7"/>
    <w:rsid w:val="1FA33A2F"/>
    <w:rsid w:val="1FC47C82"/>
    <w:rsid w:val="209B0B03"/>
    <w:rsid w:val="220B7F0B"/>
    <w:rsid w:val="221548E5"/>
    <w:rsid w:val="22605766"/>
    <w:rsid w:val="22C64576"/>
    <w:rsid w:val="22F8499B"/>
    <w:rsid w:val="233C3CCD"/>
    <w:rsid w:val="23496407"/>
    <w:rsid w:val="237335E8"/>
    <w:rsid w:val="24DF594E"/>
    <w:rsid w:val="24E53A59"/>
    <w:rsid w:val="2513305B"/>
    <w:rsid w:val="25221917"/>
    <w:rsid w:val="25260A68"/>
    <w:rsid w:val="255B124F"/>
    <w:rsid w:val="25B4064D"/>
    <w:rsid w:val="263E3456"/>
    <w:rsid w:val="26543842"/>
    <w:rsid w:val="26A15759"/>
    <w:rsid w:val="26F05755"/>
    <w:rsid w:val="2715674C"/>
    <w:rsid w:val="27473793"/>
    <w:rsid w:val="275D7306"/>
    <w:rsid w:val="27D23D25"/>
    <w:rsid w:val="27E0552B"/>
    <w:rsid w:val="28653841"/>
    <w:rsid w:val="292B0FEE"/>
    <w:rsid w:val="299407E6"/>
    <w:rsid w:val="29C90804"/>
    <w:rsid w:val="29D532D8"/>
    <w:rsid w:val="2A295EE9"/>
    <w:rsid w:val="2A6528B6"/>
    <w:rsid w:val="2A7B31C8"/>
    <w:rsid w:val="2AAB16C1"/>
    <w:rsid w:val="2ADC41F2"/>
    <w:rsid w:val="2B172ACC"/>
    <w:rsid w:val="2BA81DDA"/>
    <w:rsid w:val="2BD36576"/>
    <w:rsid w:val="2CCA1970"/>
    <w:rsid w:val="2D145888"/>
    <w:rsid w:val="2D5B4092"/>
    <w:rsid w:val="2DFA155F"/>
    <w:rsid w:val="2DFC2407"/>
    <w:rsid w:val="2E2824BD"/>
    <w:rsid w:val="2EFA4E1D"/>
    <w:rsid w:val="2F837F80"/>
    <w:rsid w:val="30550570"/>
    <w:rsid w:val="30C67E5E"/>
    <w:rsid w:val="31131C31"/>
    <w:rsid w:val="31DC0F7C"/>
    <w:rsid w:val="32403A87"/>
    <w:rsid w:val="32720CD6"/>
    <w:rsid w:val="32C2328C"/>
    <w:rsid w:val="34431E87"/>
    <w:rsid w:val="34434556"/>
    <w:rsid w:val="347D6A46"/>
    <w:rsid w:val="34831B82"/>
    <w:rsid w:val="354A7F4B"/>
    <w:rsid w:val="35AD196E"/>
    <w:rsid w:val="36271729"/>
    <w:rsid w:val="36321AB2"/>
    <w:rsid w:val="375264AD"/>
    <w:rsid w:val="38600599"/>
    <w:rsid w:val="3A3A1FD5"/>
    <w:rsid w:val="3A7553E0"/>
    <w:rsid w:val="3B1C48C4"/>
    <w:rsid w:val="3B935EC3"/>
    <w:rsid w:val="3BF64EA9"/>
    <w:rsid w:val="3CC92323"/>
    <w:rsid w:val="3DF8713D"/>
    <w:rsid w:val="3E682515"/>
    <w:rsid w:val="3E774506"/>
    <w:rsid w:val="3E9F74E8"/>
    <w:rsid w:val="3ED03C16"/>
    <w:rsid w:val="3F6B3223"/>
    <w:rsid w:val="3F953BBA"/>
    <w:rsid w:val="3FAA26B9"/>
    <w:rsid w:val="40706DA7"/>
    <w:rsid w:val="413B2F81"/>
    <w:rsid w:val="4257641F"/>
    <w:rsid w:val="42AF16F2"/>
    <w:rsid w:val="43162488"/>
    <w:rsid w:val="43811983"/>
    <w:rsid w:val="43C546F7"/>
    <w:rsid w:val="43F959BD"/>
    <w:rsid w:val="440F0F41"/>
    <w:rsid w:val="44343EF4"/>
    <w:rsid w:val="44580936"/>
    <w:rsid w:val="44847FE8"/>
    <w:rsid w:val="44E1092B"/>
    <w:rsid w:val="44E37750"/>
    <w:rsid w:val="453E2322"/>
    <w:rsid w:val="45A858ED"/>
    <w:rsid w:val="45DE6A28"/>
    <w:rsid w:val="46C97D25"/>
    <w:rsid w:val="46F30F50"/>
    <w:rsid w:val="47030223"/>
    <w:rsid w:val="477128DF"/>
    <w:rsid w:val="47AF4D11"/>
    <w:rsid w:val="47F93293"/>
    <w:rsid w:val="481D7ECC"/>
    <w:rsid w:val="48324F29"/>
    <w:rsid w:val="48474F49"/>
    <w:rsid w:val="48E44E8E"/>
    <w:rsid w:val="48ED7D5E"/>
    <w:rsid w:val="49382D5D"/>
    <w:rsid w:val="495711BC"/>
    <w:rsid w:val="4961203A"/>
    <w:rsid w:val="49C25915"/>
    <w:rsid w:val="4A280DAA"/>
    <w:rsid w:val="4A6E2C61"/>
    <w:rsid w:val="4A7E35C3"/>
    <w:rsid w:val="4BBC79FC"/>
    <w:rsid w:val="4C195962"/>
    <w:rsid w:val="4C2B3CC6"/>
    <w:rsid w:val="4C324162"/>
    <w:rsid w:val="4C8F335D"/>
    <w:rsid w:val="4CD07C03"/>
    <w:rsid w:val="4DBC3CE3"/>
    <w:rsid w:val="4DEF6F2F"/>
    <w:rsid w:val="4E062FDE"/>
    <w:rsid w:val="4E1E7E8C"/>
    <w:rsid w:val="4E431282"/>
    <w:rsid w:val="4E5B03B1"/>
    <w:rsid w:val="4E704CA0"/>
    <w:rsid w:val="4F4430D3"/>
    <w:rsid w:val="4F5F0DCA"/>
    <w:rsid w:val="4F92101B"/>
    <w:rsid w:val="4FC056B4"/>
    <w:rsid w:val="4FF71F95"/>
    <w:rsid w:val="50A8054F"/>
    <w:rsid w:val="5124051D"/>
    <w:rsid w:val="513F5357"/>
    <w:rsid w:val="51B32158"/>
    <w:rsid w:val="522B5B88"/>
    <w:rsid w:val="525B4C6C"/>
    <w:rsid w:val="52904488"/>
    <w:rsid w:val="53146370"/>
    <w:rsid w:val="53566988"/>
    <w:rsid w:val="53A42876"/>
    <w:rsid w:val="540A4EE9"/>
    <w:rsid w:val="557032EB"/>
    <w:rsid w:val="56210EA0"/>
    <w:rsid w:val="565D3F47"/>
    <w:rsid w:val="56DC5EDA"/>
    <w:rsid w:val="58C20CA9"/>
    <w:rsid w:val="594A45A3"/>
    <w:rsid w:val="596A242A"/>
    <w:rsid w:val="5AB1340E"/>
    <w:rsid w:val="5AF727FF"/>
    <w:rsid w:val="5B184523"/>
    <w:rsid w:val="5C3D2DFF"/>
    <w:rsid w:val="5CE53D91"/>
    <w:rsid w:val="5DEA2037"/>
    <w:rsid w:val="5E267BE9"/>
    <w:rsid w:val="5E8A28CF"/>
    <w:rsid w:val="5EB206D6"/>
    <w:rsid w:val="5ED630F2"/>
    <w:rsid w:val="5EE035AA"/>
    <w:rsid w:val="5FE85289"/>
    <w:rsid w:val="6135375D"/>
    <w:rsid w:val="62084049"/>
    <w:rsid w:val="622C5CE4"/>
    <w:rsid w:val="629628FD"/>
    <w:rsid w:val="62A3326C"/>
    <w:rsid w:val="630208BF"/>
    <w:rsid w:val="63316ACA"/>
    <w:rsid w:val="63B03E93"/>
    <w:rsid w:val="65E67D56"/>
    <w:rsid w:val="666F1DE3"/>
    <w:rsid w:val="6692162D"/>
    <w:rsid w:val="66FB3677"/>
    <w:rsid w:val="676F3F8D"/>
    <w:rsid w:val="6817442C"/>
    <w:rsid w:val="681A5D7E"/>
    <w:rsid w:val="6852376A"/>
    <w:rsid w:val="692D602D"/>
    <w:rsid w:val="69692B1A"/>
    <w:rsid w:val="69941325"/>
    <w:rsid w:val="69C9180A"/>
    <w:rsid w:val="6B9E65A2"/>
    <w:rsid w:val="6C0B435C"/>
    <w:rsid w:val="6C8F1BD3"/>
    <w:rsid w:val="6D125276"/>
    <w:rsid w:val="6D4235B9"/>
    <w:rsid w:val="6EDC5D89"/>
    <w:rsid w:val="6F7E6BF3"/>
    <w:rsid w:val="6F963F3C"/>
    <w:rsid w:val="6FBC771B"/>
    <w:rsid w:val="700052DD"/>
    <w:rsid w:val="7069117B"/>
    <w:rsid w:val="72697365"/>
    <w:rsid w:val="729A580A"/>
    <w:rsid w:val="72CD33C4"/>
    <w:rsid w:val="72EA2944"/>
    <w:rsid w:val="7419338E"/>
    <w:rsid w:val="74B8359B"/>
    <w:rsid w:val="74DB326B"/>
    <w:rsid w:val="74F60829"/>
    <w:rsid w:val="74F66BD6"/>
    <w:rsid w:val="751C5163"/>
    <w:rsid w:val="752740A2"/>
    <w:rsid w:val="75471620"/>
    <w:rsid w:val="75481E2B"/>
    <w:rsid w:val="75980FBB"/>
    <w:rsid w:val="75C56095"/>
    <w:rsid w:val="7648331B"/>
    <w:rsid w:val="76695353"/>
    <w:rsid w:val="76BD6253"/>
    <w:rsid w:val="77031F32"/>
    <w:rsid w:val="77415966"/>
    <w:rsid w:val="775748F9"/>
    <w:rsid w:val="77B04009"/>
    <w:rsid w:val="780E7E9F"/>
    <w:rsid w:val="78BD355C"/>
    <w:rsid w:val="78E20CD2"/>
    <w:rsid w:val="78EE6B97"/>
    <w:rsid w:val="79AA422C"/>
    <w:rsid w:val="7A4A42A1"/>
    <w:rsid w:val="7AEF4E49"/>
    <w:rsid w:val="7AF73293"/>
    <w:rsid w:val="7B615D46"/>
    <w:rsid w:val="7B76019E"/>
    <w:rsid w:val="7C211032"/>
    <w:rsid w:val="7CD11970"/>
    <w:rsid w:val="7D045846"/>
    <w:rsid w:val="7D954439"/>
    <w:rsid w:val="7DB728E5"/>
    <w:rsid w:val="7E3A462D"/>
    <w:rsid w:val="7E6D4A02"/>
    <w:rsid w:val="7F2318B7"/>
    <w:rsid w:val="7F3774CA"/>
    <w:rsid w:val="7F953436"/>
    <w:rsid w:val="7FEC7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6">
    <w:name w:val="Default Paragraph Font"/>
    <w:autoRedefine/>
    <w:qFormat/>
    <w:uiPriority w:val="0"/>
  </w:style>
  <w:style w:type="table" w:default="1" w:styleId="1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99"/>
    <w:pPr>
      <w:ind w:firstLine="420" w:firstLineChars="200"/>
    </w:pPr>
  </w:style>
  <w:style w:type="paragraph" w:styleId="5">
    <w:name w:val="Document Map"/>
    <w:basedOn w:val="1"/>
    <w:next w:val="1"/>
    <w:autoRedefine/>
    <w:qFormat/>
    <w:uiPriority w:val="99"/>
    <w:rPr>
      <w:rFonts w:ascii="宋体" w:cs="宋体"/>
      <w:sz w:val="18"/>
      <w:szCs w:val="18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1"/>
    <w:autoRedefine/>
    <w:qFormat/>
    <w:uiPriority w:val="0"/>
    <w:pPr>
      <w:spacing w:after="120"/>
    </w:pPr>
    <w:rPr>
      <w:rFonts w:ascii="Calibri" w:hAnsi="Calibri" w:cs="Calibri"/>
      <w:kern w:val="0"/>
      <w:sz w:val="20"/>
      <w:szCs w:val="20"/>
    </w:rPr>
  </w:style>
  <w:style w:type="paragraph" w:styleId="8">
    <w:name w:val="Body Text Indent"/>
    <w:basedOn w:val="1"/>
    <w:next w:val="9"/>
    <w:autoRedefine/>
    <w:qFormat/>
    <w:uiPriority w:val="99"/>
    <w:pPr>
      <w:ind w:left="420" w:leftChars="200"/>
    </w:pPr>
    <w:rPr>
      <w:kern w:val="0"/>
      <w:sz w:val="20"/>
      <w:szCs w:val="20"/>
    </w:rPr>
  </w:style>
  <w:style w:type="paragraph" w:styleId="9">
    <w:name w:val="Body Text First Indent 2"/>
    <w:basedOn w:val="8"/>
    <w:next w:val="1"/>
    <w:autoRedefine/>
    <w:qFormat/>
    <w:uiPriority w:val="99"/>
    <w:pPr>
      <w:ind w:firstLine="420" w:firstLineChars="200"/>
    </w:pPr>
    <w:rPr>
      <w:kern w:val="2"/>
      <w:sz w:val="22"/>
    </w:rPr>
  </w:style>
  <w:style w:type="paragraph" w:styleId="10">
    <w:name w:val="Body Text Indent 2"/>
    <w:basedOn w:val="1"/>
    <w:autoRedefine/>
    <w:qFormat/>
    <w:uiPriority w:val="0"/>
    <w:pPr>
      <w:spacing w:after="120" w:afterLines="0" w:line="480" w:lineRule="auto"/>
      <w:ind w:left="420" w:leftChars="200"/>
    </w:pPr>
    <w:rPr>
      <w:rFonts w:ascii="Calibri" w:hAnsi="Calibri"/>
      <w:kern w:val="0"/>
      <w:sz w:val="28"/>
      <w:szCs w:val="20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autoRedefine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报告二级标题VIP"/>
    <w:basedOn w:val="19"/>
    <w:autoRedefine/>
    <w:qFormat/>
    <w:uiPriority w:val="0"/>
    <w:pPr>
      <w:spacing w:line="240" w:lineRule="auto"/>
    </w:pPr>
    <w:rPr>
      <w:color w:val="FF7D18"/>
    </w:rPr>
  </w:style>
  <w:style w:type="paragraph" w:customStyle="1" w:styleId="19">
    <w:name w:val="报告二级标题"/>
    <w:basedOn w:val="3"/>
    <w:autoRedefine/>
    <w:qFormat/>
    <w:uiPriority w:val="0"/>
    <w:pPr>
      <w:spacing w:before="0" w:after="0" w:line="720" w:lineRule="auto"/>
    </w:pPr>
    <w:rPr>
      <w:rFonts w:ascii="黑体" w:hAnsi="黑体" w:eastAsia="黑体" w:cs="黑体"/>
      <w:color w:val="0084FF"/>
      <w:sz w:val="36"/>
      <w:szCs w:val="36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font1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3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4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4500</Words>
  <Characters>4662</Characters>
  <Paragraphs>86</Paragraphs>
  <TotalTime>7</TotalTime>
  <ScaleCrop>false</ScaleCrop>
  <LinksUpToDate>false</LinksUpToDate>
  <CharactersWithSpaces>4946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2023-12-23T01:52:00Z</dcterms:created>
  <dc:creator>40566</dc:creator>
  <cp:lastModifiedBy>浅夏忆沫</cp:lastModifiedBy>
  <cp:lastPrinted>2025-02-18T11:01:00Z</cp:lastPrinted>
  <dcterms:modified xsi:type="dcterms:W3CDTF">2025-02-28T07:22:38Z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C0C9F988677D4288A7A04DDA40EEB598_13</vt:lpwstr>
  </property>
  <property fmtid="{D5CDD505-2E9C-101B-9397-08002B2CF9AE}" pid="4" name="KSOTemplateDocerSaveRecord">
    <vt:lpwstr>eyJoZGlkIjoiYmEzZGNlMmIxMDI2MmM5YjY4NmY4NmExNjk5ZjNlNTkiLCJ1c2VySWQiOiI0MTY0MDE5MjIifQ==</vt:lpwstr>
  </property>
</Properties>
</file>