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F89AE">
      <w:pPr>
        <w:jc w:val="center"/>
        <w:rPr>
          <w:rFonts w:hint="eastAsia" w:asciiTheme="majorEastAsia" w:hAnsiTheme="majorEastAsia" w:eastAsiaTheme="majorEastAsia" w:cstheme="majorEastAsia"/>
          <w:bCs/>
          <w:sz w:val="44"/>
        </w:rPr>
      </w:pPr>
      <w:r>
        <w:rPr>
          <w:rFonts w:hint="eastAsia" w:asciiTheme="majorEastAsia" w:hAnsiTheme="majorEastAsia" w:eastAsiaTheme="majorEastAsia" w:cstheme="majorEastAsia"/>
          <w:bCs/>
          <w:sz w:val="44"/>
        </w:rPr>
        <w:t>北京劳动保障职业学院</w:t>
      </w:r>
    </w:p>
    <w:p w14:paraId="0F0C74AF">
      <w:pPr>
        <w:jc w:val="center"/>
        <w:rPr>
          <w:rFonts w:hint="eastAsia" w:asciiTheme="majorEastAsia" w:hAnsiTheme="majorEastAsia" w:eastAsiaTheme="majorEastAsia" w:cstheme="majorEastAsia"/>
          <w:bCs/>
          <w:sz w:val="44"/>
        </w:rPr>
      </w:pPr>
      <w:r>
        <w:rPr>
          <w:rFonts w:hint="eastAsia" w:asciiTheme="majorEastAsia" w:hAnsiTheme="majorEastAsia" w:eastAsiaTheme="majorEastAsia" w:cstheme="majorEastAsia"/>
          <w:bCs/>
          <w:sz w:val="44"/>
        </w:rPr>
        <w:t>2025年度聘</w:t>
      </w:r>
      <w:r>
        <w:rPr>
          <w:rFonts w:hint="eastAsia" w:asciiTheme="majorEastAsia" w:hAnsiTheme="majorEastAsia" w:eastAsiaTheme="majorEastAsia" w:cstheme="majorEastAsia"/>
          <w:bCs/>
          <w:sz w:val="44"/>
          <w:lang w:val="en-US" w:eastAsia="zh-CN"/>
        </w:rPr>
        <w:t>请特聘教授与名匠的</w:t>
      </w:r>
      <w:r>
        <w:rPr>
          <w:rFonts w:hint="eastAsia" w:asciiTheme="majorEastAsia" w:hAnsiTheme="majorEastAsia" w:eastAsiaTheme="majorEastAsia" w:cstheme="majorEastAsia"/>
          <w:bCs/>
          <w:sz w:val="44"/>
        </w:rPr>
        <w:t>需求表</w:t>
      </w:r>
      <w:bookmarkStart w:id="0" w:name="_GoBack"/>
      <w:bookmarkEnd w:id="0"/>
    </w:p>
    <w:p w14:paraId="13F4B5F4">
      <w:pPr>
        <w:jc w:val="center"/>
        <w:rPr>
          <w:rFonts w:hint="eastAsia" w:asciiTheme="majorEastAsia" w:hAnsiTheme="majorEastAsia" w:eastAsiaTheme="majorEastAsia" w:cstheme="majorEastAsia"/>
          <w:bCs/>
          <w:sz w:val="24"/>
          <w:szCs w:val="24"/>
        </w:rPr>
      </w:pPr>
    </w:p>
    <w:tbl>
      <w:tblPr>
        <w:tblStyle w:val="6"/>
        <w:tblW w:w="11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60"/>
        <w:gridCol w:w="1041"/>
        <w:gridCol w:w="466"/>
        <w:gridCol w:w="2005"/>
        <w:gridCol w:w="1071"/>
        <w:gridCol w:w="5640"/>
      </w:tblGrid>
      <w:tr w14:paraId="1956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9" w:type="dxa"/>
            <w:shd w:val="clear" w:color="auto" w:fill="auto"/>
            <w:noWrap/>
            <w:vAlign w:val="center"/>
          </w:tcPr>
          <w:p w14:paraId="7A0FA86C">
            <w:pPr>
              <w:widowControl/>
              <w:jc w:val="center"/>
              <w:textAlignment w:val="center"/>
              <w:rPr>
                <w:rFonts w:ascii="仿宋_GB2312" w:eastAsia="仿宋_GB2312"/>
                <w:b/>
                <w:bCs/>
                <w:sz w:val="20"/>
                <w:szCs w:val="20"/>
              </w:rPr>
            </w:pPr>
            <w:r>
              <w:rPr>
                <w:rFonts w:hint="eastAsia" w:ascii="仿宋_GB2312" w:eastAsia="仿宋_GB2312"/>
                <w:b/>
                <w:bCs/>
                <w:sz w:val="20"/>
                <w:szCs w:val="20"/>
                <w:lang w:bidi="ar"/>
              </w:rPr>
              <w:t>序号</w:t>
            </w:r>
          </w:p>
        </w:tc>
        <w:tc>
          <w:tcPr>
            <w:tcW w:w="860" w:type="dxa"/>
            <w:shd w:val="clear" w:color="auto" w:fill="auto"/>
            <w:vAlign w:val="center"/>
          </w:tcPr>
          <w:p w14:paraId="7D25011B">
            <w:pPr>
              <w:widowControl/>
              <w:ind w:left="-105" w:leftChars="-50" w:right="-105" w:rightChars="-50"/>
              <w:jc w:val="center"/>
              <w:textAlignment w:val="center"/>
              <w:rPr>
                <w:rFonts w:ascii="仿宋_GB2312" w:eastAsia="仿宋_GB2312"/>
                <w:b/>
                <w:bCs/>
                <w:sz w:val="20"/>
                <w:szCs w:val="20"/>
              </w:rPr>
            </w:pPr>
            <w:r>
              <w:rPr>
                <w:rStyle w:val="13"/>
                <w:rFonts w:hint="default" w:ascii="仿宋_GB2312" w:eastAsia="仿宋_GB2312"/>
                <w:sz w:val="20"/>
                <w:szCs w:val="20"/>
                <w:lang w:bidi="ar"/>
              </w:rPr>
              <w:t>部门</w:t>
            </w:r>
          </w:p>
        </w:tc>
        <w:tc>
          <w:tcPr>
            <w:tcW w:w="1041" w:type="dxa"/>
            <w:shd w:val="clear" w:color="auto" w:fill="auto"/>
            <w:vAlign w:val="center"/>
          </w:tcPr>
          <w:p w14:paraId="4BB2F78D">
            <w:pPr>
              <w:widowControl/>
              <w:ind w:left="-105" w:leftChars="-50" w:right="-105" w:rightChars="-50"/>
              <w:jc w:val="center"/>
              <w:textAlignment w:val="center"/>
              <w:rPr>
                <w:rFonts w:ascii="仿宋_GB2312" w:eastAsia="仿宋_GB2312"/>
                <w:b/>
                <w:bCs/>
                <w:sz w:val="20"/>
                <w:szCs w:val="20"/>
                <w:lang w:bidi="ar"/>
              </w:rPr>
            </w:pPr>
            <w:r>
              <w:rPr>
                <w:rFonts w:hint="eastAsia" w:ascii="仿宋_GB2312" w:eastAsia="仿宋_GB2312"/>
                <w:b/>
                <w:bCs/>
                <w:sz w:val="20"/>
                <w:szCs w:val="20"/>
                <w:lang w:bidi="ar"/>
              </w:rPr>
              <w:t>人员类别</w:t>
            </w:r>
          </w:p>
        </w:tc>
        <w:tc>
          <w:tcPr>
            <w:tcW w:w="466" w:type="dxa"/>
            <w:shd w:val="clear" w:color="auto" w:fill="auto"/>
            <w:noWrap/>
            <w:vAlign w:val="center"/>
          </w:tcPr>
          <w:p w14:paraId="22D9A99C">
            <w:pPr>
              <w:widowControl/>
              <w:ind w:left="-105" w:leftChars="-50" w:right="-105" w:rightChars="-50"/>
              <w:jc w:val="center"/>
              <w:textAlignment w:val="center"/>
              <w:rPr>
                <w:rFonts w:ascii="仿宋_GB2312" w:eastAsia="仿宋_GB2312"/>
                <w:b/>
                <w:bCs/>
                <w:sz w:val="20"/>
                <w:szCs w:val="20"/>
                <w:lang w:bidi="ar"/>
              </w:rPr>
            </w:pPr>
            <w:r>
              <w:rPr>
                <w:rFonts w:hint="eastAsia" w:ascii="仿宋_GB2312" w:eastAsia="仿宋_GB2312"/>
                <w:b/>
                <w:bCs/>
                <w:sz w:val="20"/>
                <w:szCs w:val="20"/>
                <w:lang w:bidi="ar"/>
              </w:rPr>
              <w:t>需求人数</w:t>
            </w:r>
          </w:p>
        </w:tc>
        <w:tc>
          <w:tcPr>
            <w:tcW w:w="2005" w:type="dxa"/>
            <w:shd w:val="clear" w:color="auto" w:fill="auto"/>
            <w:noWrap/>
            <w:vAlign w:val="center"/>
          </w:tcPr>
          <w:p w14:paraId="20CD0691">
            <w:pPr>
              <w:widowControl/>
              <w:ind w:left="-105" w:leftChars="-50" w:right="-105" w:rightChars="-50"/>
              <w:jc w:val="center"/>
              <w:textAlignment w:val="center"/>
              <w:rPr>
                <w:rFonts w:ascii="仿宋_GB2312" w:eastAsia="仿宋_GB2312"/>
                <w:b/>
                <w:bCs/>
                <w:sz w:val="20"/>
                <w:szCs w:val="20"/>
                <w:lang w:bidi="ar"/>
              </w:rPr>
            </w:pPr>
            <w:r>
              <w:rPr>
                <w:rFonts w:hint="eastAsia" w:ascii="仿宋_GB2312" w:eastAsia="仿宋_GB2312"/>
                <w:b/>
                <w:bCs/>
                <w:sz w:val="20"/>
                <w:szCs w:val="20"/>
                <w:lang w:bidi="ar"/>
              </w:rPr>
              <w:t>专业要求</w:t>
            </w:r>
          </w:p>
        </w:tc>
        <w:tc>
          <w:tcPr>
            <w:tcW w:w="1071" w:type="dxa"/>
            <w:shd w:val="clear" w:color="auto" w:fill="auto"/>
            <w:vAlign w:val="center"/>
          </w:tcPr>
          <w:p w14:paraId="241E20EC">
            <w:pPr>
              <w:widowControl/>
              <w:ind w:left="-105" w:leftChars="-50" w:right="-105" w:rightChars="-50"/>
              <w:jc w:val="center"/>
              <w:textAlignment w:val="center"/>
              <w:rPr>
                <w:rFonts w:ascii="仿宋_GB2312" w:eastAsia="仿宋_GB2312"/>
                <w:b/>
                <w:bCs/>
                <w:sz w:val="20"/>
                <w:szCs w:val="20"/>
              </w:rPr>
            </w:pPr>
            <w:r>
              <w:rPr>
                <w:rFonts w:hint="eastAsia" w:ascii="仿宋_GB2312" w:eastAsia="仿宋_GB2312"/>
                <w:b/>
                <w:bCs/>
                <w:sz w:val="20"/>
                <w:szCs w:val="20"/>
                <w:lang w:val="en-US" w:eastAsia="zh-CN" w:bidi="ar"/>
              </w:rPr>
              <w:t>聘任</w:t>
            </w:r>
            <w:r>
              <w:rPr>
                <w:rFonts w:hint="eastAsia" w:ascii="仿宋_GB2312" w:eastAsia="仿宋_GB2312"/>
                <w:b/>
                <w:bCs/>
                <w:sz w:val="20"/>
                <w:szCs w:val="20"/>
                <w:lang w:bidi="ar"/>
              </w:rPr>
              <w:t>时间</w:t>
            </w:r>
          </w:p>
        </w:tc>
        <w:tc>
          <w:tcPr>
            <w:tcW w:w="5640" w:type="dxa"/>
            <w:shd w:val="clear" w:color="auto" w:fill="auto"/>
            <w:noWrap/>
            <w:vAlign w:val="center"/>
          </w:tcPr>
          <w:p w14:paraId="3EF0CB1A">
            <w:pPr>
              <w:widowControl/>
              <w:ind w:left="-105" w:leftChars="-50" w:right="-105" w:rightChars="-50"/>
              <w:jc w:val="center"/>
              <w:textAlignment w:val="center"/>
              <w:rPr>
                <w:rFonts w:ascii="仿宋_GB2312" w:eastAsia="仿宋_GB2312"/>
                <w:b/>
                <w:bCs/>
                <w:sz w:val="20"/>
                <w:szCs w:val="20"/>
              </w:rPr>
            </w:pPr>
            <w:r>
              <w:rPr>
                <w:rStyle w:val="13"/>
                <w:rFonts w:hint="default" w:ascii="仿宋_GB2312" w:eastAsia="仿宋_GB2312"/>
                <w:sz w:val="20"/>
                <w:szCs w:val="20"/>
                <w:lang w:bidi="ar"/>
              </w:rPr>
              <w:t>工作任务</w:t>
            </w:r>
            <w:r>
              <w:rPr>
                <w:rStyle w:val="14"/>
                <w:rFonts w:hint="eastAsia" w:ascii="仿宋_GB2312" w:eastAsia="仿宋_GB2312"/>
                <w:sz w:val="20"/>
                <w:szCs w:val="20"/>
                <w:lang w:bidi="ar"/>
              </w:rPr>
              <w:t>/</w:t>
            </w:r>
            <w:r>
              <w:rPr>
                <w:rStyle w:val="13"/>
                <w:rFonts w:hint="default" w:ascii="仿宋_GB2312" w:eastAsia="仿宋_GB2312"/>
                <w:sz w:val="20"/>
                <w:szCs w:val="20"/>
                <w:lang w:bidi="ar"/>
              </w:rPr>
              <w:t>要求</w:t>
            </w:r>
          </w:p>
        </w:tc>
      </w:tr>
      <w:tr w14:paraId="162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112" w:hRule="atLeast"/>
          <w:jc w:val="center"/>
        </w:trPr>
        <w:tc>
          <w:tcPr>
            <w:tcW w:w="699" w:type="dxa"/>
            <w:shd w:val="clear" w:color="auto" w:fill="auto"/>
            <w:vAlign w:val="center"/>
          </w:tcPr>
          <w:p w14:paraId="5D2F0883">
            <w:pPr>
              <w:widowControl/>
              <w:jc w:val="center"/>
              <w:textAlignment w:val="center"/>
              <w:rPr>
                <w:rFonts w:ascii="仿宋_GB2312" w:eastAsia="仿宋_GB2312"/>
                <w:sz w:val="20"/>
                <w:szCs w:val="20"/>
                <w:lang w:bidi="ar"/>
              </w:rPr>
            </w:pPr>
            <w:r>
              <w:rPr>
                <w:rFonts w:hint="eastAsia" w:ascii="仿宋_GB2312" w:eastAsia="仿宋_GB2312"/>
                <w:sz w:val="20"/>
                <w:szCs w:val="20"/>
                <w:lang w:bidi="ar"/>
              </w:rPr>
              <w:t>1</w:t>
            </w:r>
          </w:p>
        </w:tc>
        <w:tc>
          <w:tcPr>
            <w:tcW w:w="860" w:type="dxa"/>
            <w:vMerge w:val="restart"/>
            <w:shd w:val="clear" w:color="auto" w:fill="auto"/>
            <w:vAlign w:val="center"/>
          </w:tcPr>
          <w:p w14:paraId="01D6463C">
            <w:pPr>
              <w:widowControl/>
              <w:jc w:val="center"/>
              <w:textAlignment w:val="center"/>
              <w:rPr>
                <w:rFonts w:ascii="仿宋_GB2312" w:eastAsia="仿宋_GB2312"/>
                <w:sz w:val="20"/>
                <w:szCs w:val="20"/>
                <w:lang w:bidi="ar"/>
              </w:rPr>
            </w:pPr>
            <w:r>
              <w:rPr>
                <w:rFonts w:hint="eastAsia" w:ascii="仿宋_GB2312" w:eastAsia="仿宋_GB2312"/>
                <w:sz w:val="20"/>
                <w:szCs w:val="20"/>
                <w:lang w:bidi="ar"/>
              </w:rPr>
              <w:t>民生福祉学院</w:t>
            </w:r>
          </w:p>
        </w:tc>
        <w:tc>
          <w:tcPr>
            <w:tcW w:w="1041" w:type="dxa"/>
            <w:shd w:val="clear" w:color="auto" w:fill="auto"/>
            <w:vAlign w:val="center"/>
          </w:tcPr>
          <w:p w14:paraId="33D35768">
            <w:pPr>
              <w:widowControl/>
              <w:jc w:val="center"/>
              <w:textAlignment w:val="center"/>
              <w:rPr>
                <w:rFonts w:hint="eastAsia" w:ascii="仿宋_GB2312" w:eastAsia="仿宋_GB2312"/>
                <w:sz w:val="20"/>
                <w:szCs w:val="20"/>
                <w:lang w:eastAsia="zh-CN" w:bidi="ar"/>
              </w:rPr>
            </w:pPr>
            <w:r>
              <w:rPr>
                <w:rFonts w:hint="eastAsia" w:ascii="仿宋_GB2312" w:eastAsia="仿宋_GB2312"/>
                <w:sz w:val="20"/>
                <w:szCs w:val="20"/>
                <w:lang w:val="en-US" w:eastAsia="zh-CN" w:bidi="ar"/>
              </w:rPr>
              <w:t>特聘教授</w:t>
            </w:r>
          </w:p>
        </w:tc>
        <w:tc>
          <w:tcPr>
            <w:tcW w:w="466" w:type="dxa"/>
            <w:shd w:val="clear" w:color="auto" w:fill="auto"/>
            <w:vAlign w:val="center"/>
          </w:tcPr>
          <w:p w14:paraId="2101762E">
            <w:pPr>
              <w:widowControl/>
              <w:jc w:val="center"/>
              <w:textAlignment w:val="center"/>
              <w:rPr>
                <w:rFonts w:ascii="仿宋_GB2312" w:eastAsia="仿宋_GB2312"/>
                <w:sz w:val="20"/>
                <w:szCs w:val="20"/>
                <w:lang w:bidi="ar"/>
              </w:rPr>
            </w:pPr>
            <w:r>
              <w:rPr>
                <w:rFonts w:ascii="仿宋_GB2312" w:eastAsia="仿宋_GB2312"/>
                <w:sz w:val="20"/>
                <w:szCs w:val="20"/>
                <w:lang w:bidi="ar"/>
              </w:rPr>
              <w:t>1</w:t>
            </w:r>
          </w:p>
        </w:tc>
        <w:tc>
          <w:tcPr>
            <w:tcW w:w="2005" w:type="dxa"/>
            <w:shd w:val="clear" w:color="auto" w:fill="auto"/>
            <w:vAlign w:val="center"/>
          </w:tcPr>
          <w:p w14:paraId="4FB81F6C">
            <w:pPr>
              <w:widowControl/>
              <w:jc w:val="center"/>
              <w:textAlignment w:val="center"/>
              <w:rPr>
                <w:rFonts w:ascii="仿宋_GB2312" w:eastAsia="仿宋_GB2312"/>
                <w:sz w:val="20"/>
                <w:szCs w:val="20"/>
                <w:lang w:bidi="ar"/>
              </w:rPr>
            </w:pPr>
            <w:r>
              <w:rPr>
                <w:rFonts w:ascii="仿宋_GB2312" w:eastAsia="仿宋_GB2312"/>
                <w:sz w:val="20"/>
                <w:szCs w:val="20"/>
                <w:lang w:bidi="ar"/>
              </w:rPr>
              <w:t>智慧健康养老服务与管理</w:t>
            </w:r>
          </w:p>
        </w:tc>
        <w:tc>
          <w:tcPr>
            <w:tcW w:w="1071" w:type="dxa"/>
            <w:shd w:val="clear" w:color="auto" w:fill="auto"/>
            <w:vAlign w:val="center"/>
          </w:tcPr>
          <w:p w14:paraId="68D021AE">
            <w:pPr>
              <w:widowControl/>
              <w:jc w:val="center"/>
              <w:textAlignment w:val="center"/>
              <w:rPr>
                <w:rFonts w:ascii="仿宋_GB2312" w:eastAsia="仿宋_GB2312"/>
                <w:sz w:val="20"/>
                <w:szCs w:val="20"/>
                <w:lang w:bidi="ar"/>
              </w:rPr>
            </w:pPr>
            <w:r>
              <w:rPr>
                <w:rFonts w:ascii="仿宋_GB2312" w:eastAsia="仿宋_GB2312"/>
                <w:sz w:val="20"/>
                <w:szCs w:val="20"/>
                <w:lang w:bidi="ar"/>
              </w:rPr>
              <w:t>2025.0</w:t>
            </w:r>
            <w:r>
              <w:rPr>
                <w:rFonts w:hint="eastAsia" w:ascii="仿宋_GB2312" w:eastAsia="仿宋_GB2312"/>
                <w:sz w:val="20"/>
                <w:szCs w:val="20"/>
                <w:lang w:val="en-US" w:eastAsia="zh-CN" w:bidi="ar"/>
              </w:rPr>
              <w:t>3</w:t>
            </w:r>
            <w:r>
              <w:rPr>
                <w:rFonts w:ascii="仿宋_GB2312" w:eastAsia="仿宋_GB2312"/>
                <w:sz w:val="20"/>
                <w:szCs w:val="20"/>
                <w:lang w:bidi="ar"/>
              </w:rPr>
              <w:t>-202</w:t>
            </w:r>
            <w:r>
              <w:rPr>
                <w:rFonts w:hint="eastAsia" w:ascii="仿宋_GB2312" w:eastAsia="仿宋_GB2312"/>
                <w:sz w:val="20"/>
                <w:szCs w:val="20"/>
                <w:lang w:val="en-US" w:eastAsia="zh-CN" w:bidi="ar"/>
              </w:rPr>
              <w:t>6</w:t>
            </w:r>
            <w:r>
              <w:rPr>
                <w:rFonts w:ascii="仿宋_GB2312" w:eastAsia="仿宋_GB2312"/>
                <w:sz w:val="20"/>
                <w:szCs w:val="20"/>
                <w:lang w:bidi="ar"/>
              </w:rPr>
              <w:t>.</w:t>
            </w:r>
            <w:r>
              <w:rPr>
                <w:rFonts w:hint="eastAsia" w:ascii="仿宋_GB2312" w:eastAsia="仿宋_GB2312"/>
                <w:sz w:val="20"/>
                <w:szCs w:val="20"/>
                <w:lang w:val="en-US" w:eastAsia="zh-CN" w:bidi="ar"/>
              </w:rPr>
              <w:t>03</w:t>
            </w:r>
          </w:p>
        </w:tc>
        <w:tc>
          <w:tcPr>
            <w:tcW w:w="5640" w:type="dxa"/>
            <w:shd w:val="clear" w:color="auto" w:fill="auto"/>
            <w:vAlign w:val="center"/>
          </w:tcPr>
          <w:p w14:paraId="1490EF00">
            <w:pPr>
              <w:widowControl/>
              <w:numPr>
                <w:ilvl w:val="0"/>
                <w:numId w:val="0"/>
              </w:numPr>
              <w:ind w:left="0" w:leftChars="0" w:firstLine="0" w:firstLineChars="0"/>
              <w:textAlignment w:val="center"/>
              <w:rPr>
                <w:rFonts w:hint="eastAsia" w:ascii="仿宋_GB2312" w:eastAsia="仿宋_GB2312"/>
                <w:sz w:val="20"/>
                <w:szCs w:val="20"/>
                <w:lang w:eastAsia="zh-CN" w:bidi="ar"/>
              </w:rPr>
            </w:pPr>
            <w:r>
              <w:rPr>
                <w:rFonts w:hint="eastAsia" w:ascii="仿宋_GB2312" w:eastAsia="仿宋_GB2312"/>
                <w:sz w:val="20"/>
                <w:szCs w:val="20"/>
                <w:lang w:bidi="ar"/>
              </w:rPr>
              <w:t>指导完成国家“双高计划”标志性成果或省“高职双高工程”的国家级成果</w:t>
            </w:r>
            <w:r>
              <w:rPr>
                <w:rFonts w:hint="eastAsia" w:ascii="仿宋_GB2312" w:eastAsia="仿宋_GB2312"/>
                <w:sz w:val="20"/>
                <w:szCs w:val="20"/>
                <w:lang w:eastAsia="zh-CN" w:bidi="ar"/>
              </w:rPr>
              <w:t>；</w:t>
            </w:r>
            <w:r>
              <w:rPr>
                <w:rFonts w:hint="eastAsia" w:ascii="仿宋_GB2312" w:eastAsia="仿宋_GB2312"/>
                <w:sz w:val="20"/>
                <w:szCs w:val="20"/>
                <w:lang w:val="en-US" w:eastAsia="zh-CN" w:bidi="ar"/>
              </w:rPr>
              <w:t>指</w:t>
            </w:r>
            <w:r>
              <w:rPr>
                <w:rFonts w:hint="eastAsia" w:ascii="仿宋_GB2312" w:eastAsia="仿宋_GB2312"/>
                <w:sz w:val="20"/>
                <w:szCs w:val="20"/>
                <w:lang w:eastAsia="zh-CN" w:bidi="ar"/>
              </w:rPr>
              <w:t>导完成省级及以上教育教学改革成果奖、教学质量工程、中心（基地）、重大教研科研项目、人才项目等；在中青年人才成长、发展方面提供相应的支持、指导和建议；指导教师参加教学能力比赛；指导智慧健康养老服务与管理专业群开展教材编写，完成规划类教材申报；引进龙头企业参与学院人才培养，拓展校企合作、推进产教融合，结合行业发展趋势与人才需求，制定长期专业群建设规划，为专业设置、课程体系优化提供建设性意见；组织开展学术讲座、教研等活动。</w:t>
            </w:r>
          </w:p>
        </w:tc>
      </w:tr>
      <w:tr w14:paraId="198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332" w:hRule="atLeast"/>
          <w:jc w:val="center"/>
        </w:trPr>
        <w:tc>
          <w:tcPr>
            <w:tcW w:w="699" w:type="dxa"/>
            <w:shd w:val="clear" w:color="auto" w:fill="auto"/>
            <w:vAlign w:val="center"/>
          </w:tcPr>
          <w:p w14:paraId="2BFFDAB9">
            <w:pPr>
              <w:widowControl/>
              <w:jc w:val="center"/>
              <w:textAlignment w:val="center"/>
              <w:rPr>
                <w:rFonts w:ascii="仿宋_GB2312" w:eastAsia="仿宋_GB2312"/>
                <w:sz w:val="20"/>
                <w:szCs w:val="20"/>
                <w:lang w:bidi="ar"/>
              </w:rPr>
            </w:pPr>
            <w:r>
              <w:rPr>
                <w:rFonts w:hint="eastAsia" w:ascii="仿宋_GB2312" w:eastAsia="仿宋_GB2312"/>
                <w:sz w:val="20"/>
                <w:szCs w:val="20"/>
                <w:lang w:bidi="ar"/>
              </w:rPr>
              <w:t>2</w:t>
            </w:r>
          </w:p>
        </w:tc>
        <w:tc>
          <w:tcPr>
            <w:tcW w:w="860" w:type="dxa"/>
            <w:vMerge w:val="continue"/>
            <w:shd w:val="clear" w:color="auto" w:fill="auto"/>
            <w:vAlign w:val="center"/>
          </w:tcPr>
          <w:p w14:paraId="780732EB">
            <w:pPr>
              <w:widowControl/>
              <w:jc w:val="center"/>
              <w:textAlignment w:val="center"/>
              <w:rPr>
                <w:rFonts w:ascii="仿宋_GB2312" w:eastAsia="仿宋_GB2312"/>
                <w:sz w:val="20"/>
                <w:szCs w:val="20"/>
                <w:lang w:bidi="ar"/>
              </w:rPr>
            </w:pPr>
          </w:p>
        </w:tc>
        <w:tc>
          <w:tcPr>
            <w:tcW w:w="1041" w:type="dxa"/>
            <w:shd w:val="clear" w:color="auto" w:fill="auto"/>
            <w:vAlign w:val="center"/>
          </w:tcPr>
          <w:p w14:paraId="25C4BA5A">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特聘教授</w:t>
            </w:r>
          </w:p>
        </w:tc>
        <w:tc>
          <w:tcPr>
            <w:tcW w:w="466" w:type="dxa"/>
            <w:shd w:val="clear" w:color="auto" w:fill="auto"/>
            <w:vAlign w:val="center"/>
          </w:tcPr>
          <w:p w14:paraId="7BE58C44">
            <w:pPr>
              <w:widowControl/>
              <w:jc w:val="center"/>
              <w:textAlignment w:val="center"/>
              <w:rPr>
                <w:rFonts w:ascii="仿宋_GB2312" w:eastAsia="仿宋_GB2312"/>
                <w:sz w:val="20"/>
                <w:szCs w:val="20"/>
                <w:lang w:bidi="ar"/>
              </w:rPr>
            </w:pPr>
            <w:r>
              <w:rPr>
                <w:rFonts w:ascii="仿宋_GB2312" w:eastAsia="仿宋_GB2312"/>
                <w:sz w:val="20"/>
                <w:szCs w:val="20"/>
                <w:lang w:bidi="ar"/>
              </w:rPr>
              <w:t>1</w:t>
            </w:r>
          </w:p>
        </w:tc>
        <w:tc>
          <w:tcPr>
            <w:tcW w:w="2005" w:type="dxa"/>
            <w:shd w:val="clear" w:color="auto" w:fill="auto"/>
            <w:vAlign w:val="center"/>
          </w:tcPr>
          <w:p w14:paraId="3AE96CC9">
            <w:pPr>
              <w:widowControl/>
              <w:jc w:val="center"/>
              <w:textAlignment w:val="center"/>
              <w:rPr>
                <w:rFonts w:ascii="仿宋_GB2312" w:eastAsia="仿宋_GB2312"/>
                <w:sz w:val="20"/>
                <w:szCs w:val="20"/>
                <w:lang w:bidi="ar"/>
              </w:rPr>
            </w:pPr>
            <w:r>
              <w:rPr>
                <w:rFonts w:ascii="仿宋_GB2312" w:eastAsia="仿宋_GB2312"/>
                <w:sz w:val="20"/>
                <w:szCs w:val="20"/>
                <w:lang w:bidi="ar"/>
              </w:rPr>
              <w:t>智慧健康养老服务与管理</w:t>
            </w:r>
          </w:p>
        </w:tc>
        <w:tc>
          <w:tcPr>
            <w:tcW w:w="1071" w:type="dxa"/>
            <w:shd w:val="clear" w:color="auto" w:fill="auto"/>
            <w:vAlign w:val="center"/>
          </w:tcPr>
          <w:p w14:paraId="13CECA7E">
            <w:pPr>
              <w:widowControl/>
              <w:jc w:val="center"/>
              <w:textAlignment w:val="center"/>
              <w:rPr>
                <w:rFonts w:ascii="仿宋_GB2312" w:eastAsia="仿宋_GB2312"/>
                <w:sz w:val="20"/>
                <w:szCs w:val="20"/>
                <w:lang w:bidi="ar"/>
              </w:rPr>
            </w:pPr>
            <w:r>
              <w:rPr>
                <w:rFonts w:ascii="仿宋_GB2312" w:eastAsia="仿宋_GB2312"/>
                <w:sz w:val="20"/>
                <w:szCs w:val="20"/>
                <w:lang w:bidi="ar"/>
              </w:rPr>
              <w:t>2025.0</w:t>
            </w:r>
            <w:r>
              <w:rPr>
                <w:rFonts w:hint="eastAsia" w:ascii="仿宋_GB2312" w:eastAsia="仿宋_GB2312"/>
                <w:sz w:val="20"/>
                <w:szCs w:val="20"/>
                <w:lang w:val="en-US" w:eastAsia="zh-CN" w:bidi="ar"/>
              </w:rPr>
              <w:t>3</w:t>
            </w:r>
            <w:r>
              <w:rPr>
                <w:rFonts w:ascii="仿宋_GB2312" w:eastAsia="仿宋_GB2312"/>
                <w:sz w:val="20"/>
                <w:szCs w:val="20"/>
                <w:lang w:bidi="ar"/>
              </w:rPr>
              <w:t>-202</w:t>
            </w:r>
            <w:r>
              <w:rPr>
                <w:rFonts w:hint="eastAsia" w:ascii="仿宋_GB2312" w:eastAsia="仿宋_GB2312"/>
                <w:sz w:val="20"/>
                <w:szCs w:val="20"/>
                <w:lang w:val="en-US" w:eastAsia="zh-CN" w:bidi="ar"/>
              </w:rPr>
              <w:t>6</w:t>
            </w:r>
            <w:r>
              <w:rPr>
                <w:rFonts w:ascii="仿宋_GB2312" w:eastAsia="仿宋_GB2312"/>
                <w:sz w:val="20"/>
                <w:szCs w:val="20"/>
                <w:lang w:bidi="ar"/>
              </w:rPr>
              <w:t>.</w:t>
            </w:r>
            <w:r>
              <w:rPr>
                <w:rFonts w:hint="eastAsia" w:ascii="仿宋_GB2312" w:eastAsia="仿宋_GB2312"/>
                <w:sz w:val="20"/>
                <w:szCs w:val="20"/>
                <w:lang w:val="en-US" w:eastAsia="zh-CN" w:bidi="ar"/>
              </w:rPr>
              <w:t>03</w:t>
            </w:r>
          </w:p>
        </w:tc>
        <w:tc>
          <w:tcPr>
            <w:tcW w:w="5640" w:type="dxa"/>
            <w:shd w:val="clear" w:color="auto" w:fill="auto"/>
            <w:vAlign w:val="center"/>
          </w:tcPr>
          <w:p w14:paraId="005ACCA6">
            <w:pPr>
              <w:widowControl/>
              <w:textAlignment w:val="center"/>
              <w:rPr>
                <w:rFonts w:hint="eastAsia" w:ascii="仿宋_GB2312" w:eastAsia="仿宋_GB2312"/>
                <w:sz w:val="20"/>
                <w:szCs w:val="20"/>
                <w:lang w:eastAsia="zh-CN" w:bidi="ar"/>
              </w:rPr>
            </w:pPr>
            <w:r>
              <w:rPr>
                <w:rFonts w:hint="eastAsia" w:ascii="仿宋_GB2312" w:eastAsia="仿宋_GB2312"/>
                <w:sz w:val="20"/>
                <w:szCs w:val="20"/>
                <w:lang w:bidi="ar"/>
              </w:rPr>
              <w:t>指导完成国家“双高计划”标志性成果或省“高职双高工程”的国家级成果</w:t>
            </w:r>
            <w:r>
              <w:rPr>
                <w:rFonts w:hint="eastAsia" w:ascii="仿宋_GB2312" w:eastAsia="仿宋_GB2312"/>
                <w:sz w:val="20"/>
                <w:szCs w:val="20"/>
                <w:lang w:eastAsia="zh-CN" w:bidi="ar"/>
              </w:rPr>
              <w:t>；引进龙头企业参与学院人才培养，拓展校企合作、推进产教融合，结合行业发展趋势与人才需求，制定长期专业群建设规划，为专业设置、课程体系优化提供建设性意见；开展科研、标准制定等学术类讲座，指导教师挖掘并确定契合学院发展与行业需求的省部级科研课题方向，参与省部级以上课题申报书编写；指导教师制定并申报智慧健康养老服务与管理专业群相关标准规范，指导完成智慧养老实训室建设；指导并协助护理专业与卫健委建立初步合作关系，开展安宁疗护等医养结合相关工作。</w:t>
            </w:r>
          </w:p>
        </w:tc>
      </w:tr>
      <w:tr w14:paraId="590B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556" w:hRule="atLeast"/>
          <w:jc w:val="center"/>
        </w:trPr>
        <w:tc>
          <w:tcPr>
            <w:tcW w:w="699" w:type="dxa"/>
            <w:shd w:val="clear" w:color="auto" w:fill="auto"/>
            <w:vAlign w:val="center"/>
          </w:tcPr>
          <w:p w14:paraId="559BEFB6">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3</w:t>
            </w:r>
          </w:p>
        </w:tc>
        <w:tc>
          <w:tcPr>
            <w:tcW w:w="860" w:type="dxa"/>
            <w:vMerge w:val="continue"/>
            <w:shd w:val="clear" w:color="auto" w:fill="auto"/>
            <w:vAlign w:val="center"/>
          </w:tcPr>
          <w:p w14:paraId="7E132A86">
            <w:pPr>
              <w:widowControl/>
              <w:jc w:val="center"/>
              <w:textAlignment w:val="center"/>
              <w:rPr>
                <w:rFonts w:hint="eastAsia" w:ascii="仿宋_GB2312" w:eastAsia="仿宋_GB2312"/>
                <w:sz w:val="20"/>
                <w:szCs w:val="20"/>
                <w:lang w:bidi="ar"/>
              </w:rPr>
            </w:pPr>
          </w:p>
        </w:tc>
        <w:tc>
          <w:tcPr>
            <w:tcW w:w="1041" w:type="dxa"/>
            <w:shd w:val="clear" w:color="auto" w:fill="auto"/>
            <w:vAlign w:val="center"/>
          </w:tcPr>
          <w:p w14:paraId="2D4AD116">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名匠</w:t>
            </w:r>
          </w:p>
        </w:tc>
        <w:tc>
          <w:tcPr>
            <w:tcW w:w="466" w:type="dxa"/>
            <w:shd w:val="clear" w:color="auto" w:fill="auto"/>
            <w:vAlign w:val="center"/>
          </w:tcPr>
          <w:p w14:paraId="7A1A7685">
            <w:pPr>
              <w:widowControl/>
              <w:jc w:val="center"/>
              <w:textAlignment w:val="center"/>
              <w:rPr>
                <w:rFonts w:hint="eastAsia" w:ascii="仿宋_GB2312" w:eastAsia="仿宋_GB2312"/>
                <w:sz w:val="20"/>
                <w:szCs w:val="20"/>
                <w:lang w:val="en-US" w:eastAsia="zh-CN" w:bidi="ar"/>
              </w:rPr>
            </w:pPr>
            <w:r>
              <w:rPr>
                <w:rFonts w:hint="eastAsia" w:ascii="仿宋_GB2312" w:eastAsia="仿宋_GB2312"/>
                <w:sz w:val="20"/>
                <w:szCs w:val="20"/>
                <w:lang w:val="en-US" w:eastAsia="zh-CN" w:bidi="ar"/>
              </w:rPr>
              <w:t>1</w:t>
            </w:r>
          </w:p>
        </w:tc>
        <w:tc>
          <w:tcPr>
            <w:tcW w:w="2005" w:type="dxa"/>
            <w:shd w:val="clear" w:color="auto" w:fill="auto"/>
            <w:vAlign w:val="center"/>
          </w:tcPr>
          <w:p w14:paraId="28620578">
            <w:pPr>
              <w:widowControl/>
              <w:jc w:val="center"/>
              <w:textAlignment w:val="center"/>
              <w:rPr>
                <w:rFonts w:hint="default" w:ascii="仿宋_GB2312" w:eastAsia="仿宋_GB2312"/>
                <w:sz w:val="20"/>
                <w:szCs w:val="20"/>
                <w:lang w:val="en-US" w:eastAsia="zh-CN" w:bidi="ar"/>
              </w:rPr>
            </w:pPr>
            <w:r>
              <w:rPr>
                <w:rFonts w:hint="default" w:ascii="仿宋_GB2312" w:eastAsia="仿宋_GB2312"/>
                <w:sz w:val="20"/>
                <w:szCs w:val="20"/>
                <w:lang w:val="en-US" w:eastAsia="zh-CN" w:bidi="ar"/>
              </w:rPr>
              <w:t>智慧健康养老服务与管理、护理</w:t>
            </w:r>
          </w:p>
        </w:tc>
        <w:tc>
          <w:tcPr>
            <w:tcW w:w="1071" w:type="dxa"/>
            <w:shd w:val="clear" w:color="auto" w:fill="auto"/>
            <w:vAlign w:val="center"/>
          </w:tcPr>
          <w:p w14:paraId="4B78BFBA">
            <w:pPr>
              <w:widowControl/>
              <w:jc w:val="center"/>
              <w:textAlignment w:val="center"/>
              <w:rPr>
                <w:rFonts w:hint="eastAsia" w:ascii="仿宋_GB2312" w:eastAsia="仿宋_GB2312"/>
                <w:sz w:val="20"/>
                <w:szCs w:val="20"/>
                <w:lang w:bidi="ar"/>
              </w:rPr>
            </w:pPr>
            <w:r>
              <w:rPr>
                <w:rFonts w:ascii="仿宋_GB2312" w:eastAsia="仿宋_GB2312"/>
                <w:sz w:val="20"/>
                <w:szCs w:val="20"/>
                <w:lang w:bidi="ar"/>
              </w:rPr>
              <w:t>2025.0</w:t>
            </w:r>
            <w:r>
              <w:rPr>
                <w:rFonts w:hint="eastAsia" w:ascii="仿宋_GB2312" w:eastAsia="仿宋_GB2312"/>
                <w:sz w:val="20"/>
                <w:szCs w:val="20"/>
                <w:lang w:val="en-US" w:eastAsia="zh-CN" w:bidi="ar"/>
              </w:rPr>
              <w:t>3</w:t>
            </w:r>
            <w:r>
              <w:rPr>
                <w:rFonts w:ascii="仿宋_GB2312" w:eastAsia="仿宋_GB2312"/>
                <w:sz w:val="20"/>
                <w:szCs w:val="20"/>
                <w:lang w:bidi="ar"/>
              </w:rPr>
              <w:t>-202</w:t>
            </w:r>
            <w:r>
              <w:rPr>
                <w:rFonts w:hint="eastAsia" w:ascii="仿宋_GB2312" w:eastAsia="仿宋_GB2312"/>
                <w:sz w:val="20"/>
                <w:szCs w:val="20"/>
                <w:lang w:val="en-US" w:eastAsia="zh-CN" w:bidi="ar"/>
              </w:rPr>
              <w:t>6</w:t>
            </w:r>
            <w:r>
              <w:rPr>
                <w:rFonts w:ascii="仿宋_GB2312" w:eastAsia="仿宋_GB2312"/>
                <w:sz w:val="20"/>
                <w:szCs w:val="20"/>
                <w:lang w:bidi="ar"/>
              </w:rPr>
              <w:t>.</w:t>
            </w:r>
            <w:r>
              <w:rPr>
                <w:rFonts w:hint="eastAsia" w:ascii="仿宋_GB2312" w:eastAsia="仿宋_GB2312"/>
                <w:sz w:val="20"/>
                <w:szCs w:val="20"/>
                <w:lang w:val="en-US" w:eastAsia="zh-CN" w:bidi="ar"/>
              </w:rPr>
              <w:t>03</w:t>
            </w:r>
          </w:p>
        </w:tc>
        <w:tc>
          <w:tcPr>
            <w:tcW w:w="5640" w:type="dxa"/>
            <w:shd w:val="clear" w:color="auto" w:fill="auto"/>
            <w:vAlign w:val="center"/>
          </w:tcPr>
          <w:p w14:paraId="71F99693">
            <w:pPr>
              <w:widowControl/>
              <w:textAlignment w:val="center"/>
              <w:rPr>
                <w:rFonts w:hint="default" w:ascii="仿宋" w:hAnsi="仿宋" w:eastAsia="仿宋" w:cs="仿宋"/>
                <w:color w:val="000000"/>
                <w:sz w:val="20"/>
                <w:szCs w:val="20"/>
                <w:lang w:val="en-US" w:eastAsia="zh-CN"/>
              </w:rPr>
            </w:pPr>
            <w:r>
              <w:rPr>
                <w:rFonts w:hint="default" w:ascii="仿宋" w:hAnsi="仿宋" w:eastAsia="仿宋" w:cs="仿宋"/>
                <w:color w:val="000000"/>
                <w:sz w:val="20"/>
                <w:szCs w:val="20"/>
                <w:lang w:val="en-US" w:eastAsia="zh-CN"/>
              </w:rPr>
              <w:t>指导完成国家“双高计划”标志性成果或省“高职双高工程”的国家级成果</w:t>
            </w:r>
            <w:r>
              <w:rPr>
                <w:rFonts w:hint="eastAsia" w:ascii="仿宋" w:hAnsi="仿宋" w:eastAsia="仿宋" w:cs="仿宋"/>
                <w:color w:val="000000"/>
                <w:sz w:val="20"/>
                <w:szCs w:val="20"/>
                <w:lang w:val="en-US" w:eastAsia="zh-CN"/>
              </w:rPr>
              <w:t>；引进龙头企业参与学院人才培养，拓展校企合作、推进产教融合，结合行业发展趋势与人才需求，制定长期专业群建设规划，为专业设置、课程体系优化提供建设性意见；指导开展校企双主体的产业学院建设、北京市街道附属的社区养老驿站或区域综合服务体的建设；指导学校开展京津冀养老服务产教融合共同体党建联盟建设，协助校企共建课程思政教育基地，支持专业群开展课程思政建设；推动学校与国投健康建立长期稳定的实习就业基地，推进实践教学创新，带领学生深入国投健康的养老机构实习，参与真实项目，提升学生解决实际问题的能力；组织开展学术讲座、教研等活动。</w:t>
            </w:r>
          </w:p>
        </w:tc>
      </w:tr>
      <w:tr w14:paraId="67E2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810" w:hRule="atLeast"/>
          <w:jc w:val="center"/>
        </w:trPr>
        <w:tc>
          <w:tcPr>
            <w:tcW w:w="699" w:type="dxa"/>
            <w:shd w:val="clear" w:color="auto" w:fill="FFFFFF" w:themeFill="background1"/>
            <w:vAlign w:val="center"/>
          </w:tcPr>
          <w:p w14:paraId="7462A695">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4</w:t>
            </w:r>
          </w:p>
        </w:tc>
        <w:tc>
          <w:tcPr>
            <w:tcW w:w="860" w:type="dxa"/>
            <w:shd w:val="clear" w:color="auto" w:fill="FFFFFF" w:themeFill="background1"/>
            <w:vAlign w:val="center"/>
          </w:tcPr>
          <w:p w14:paraId="26359222">
            <w:pPr>
              <w:widowControl/>
              <w:jc w:val="center"/>
              <w:textAlignment w:val="center"/>
              <w:rPr>
                <w:rFonts w:ascii="仿宋_GB2312" w:eastAsia="仿宋_GB2312"/>
                <w:sz w:val="20"/>
                <w:szCs w:val="20"/>
                <w:lang w:bidi="ar"/>
              </w:rPr>
            </w:pPr>
            <w:r>
              <w:rPr>
                <w:rFonts w:hint="eastAsia" w:ascii="仿宋_GB2312" w:eastAsia="仿宋_GB2312"/>
                <w:sz w:val="20"/>
                <w:szCs w:val="20"/>
                <w:lang w:val="en-US" w:eastAsia="zh-CN" w:bidi="ar"/>
              </w:rPr>
              <w:t>基础学院</w:t>
            </w:r>
          </w:p>
        </w:tc>
        <w:tc>
          <w:tcPr>
            <w:tcW w:w="1041" w:type="dxa"/>
            <w:shd w:val="clear" w:color="auto" w:fill="FFFFFF" w:themeFill="background1"/>
            <w:vAlign w:val="center"/>
          </w:tcPr>
          <w:p w14:paraId="557FA9A4">
            <w:pPr>
              <w:widowControl/>
              <w:jc w:val="center"/>
              <w:textAlignment w:val="center"/>
              <w:rPr>
                <w:rFonts w:hint="eastAsia" w:ascii="仿宋_GB2312" w:eastAsia="仿宋_GB2312"/>
                <w:sz w:val="20"/>
                <w:szCs w:val="20"/>
                <w:lang w:val="en-US" w:eastAsia="zh-CN" w:bidi="ar"/>
              </w:rPr>
            </w:pPr>
            <w:r>
              <w:rPr>
                <w:rFonts w:hint="eastAsia" w:ascii="仿宋_GB2312" w:eastAsia="仿宋_GB2312"/>
                <w:sz w:val="20"/>
                <w:szCs w:val="20"/>
                <w:lang w:val="en-US" w:eastAsia="zh-CN" w:bidi="ar"/>
              </w:rPr>
              <w:t>名匠</w:t>
            </w:r>
          </w:p>
        </w:tc>
        <w:tc>
          <w:tcPr>
            <w:tcW w:w="466" w:type="dxa"/>
            <w:shd w:val="clear" w:color="auto" w:fill="FFFFFF" w:themeFill="background1"/>
            <w:vAlign w:val="center"/>
          </w:tcPr>
          <w:p w14:paraId="4A08E09E">
            <w:pPr>
              <w:widowControl/>
              <w:jc w:val="center"/>
              <w:textAlignment w:val="center"/>
              <w:rPr>
                <w:rFonts w:ascii="仿宋_GB2312" w:eastAsia="仿宋_GB2312"/>
                <w:sz w:val="20"/>
                <w:szCs w:val="20"/>
                <w:lang w:bidi="ar"/>
              </w:rPr>
            </w:pPr>
            <w:r>
              <w:rPr>
                <w:rFonts w:hint="eastAsia" w:ascii="仿宋_GB2312" w:eastAsia="仿宋_GB2312"/>
                <w:sz w:val="20"/>
                <w:szCs w:val="20"/>
                <w:lang w:val="en-US" w:eastAsia="zh-CN" w:bidi="ar"/>
              </w:rPr>
              <w:t>1</w:t>
            </w:r>
          </w:p>
        </w:tc>
        <w:tc>
          <w:tcPr>
            <w:tcW w:w="2005" w:type="dxa"/>
            <w:shd w:val="clear" w:color="auto" w:fill="FFFFFF" w:themeFill="background1"/>
            <w:vAlign w:val="center"/>
          </w:tcPr>
          <w:p w14:paraId="15C2BF42">
            <w:pPr>
              <w:widowControl/>
              <w:jc w:val="center"/>
              <w:textAlignment w:val="center"/>
              <w:rPr>
                <w:rFonts w:hint="default" w:ascii="仿宋_GB2312" w:eastAsia="仿宋_GB2312"/>
                <w:sz w:val="20"/>
                <w:szCs w:val="20"/>
                <w:lang w:bidi="ar"/>
              </w:rPr>
            </w:pPr>
            <w:r>
              <w:rPr>
                <w:rFonts w:hint="eastAsia" w:ascii="仿宋_GB2312" w:eastAsia="仿宋_GB2312"/>
                <w:sz w:val="20"/>
                <w:szCs w:val="20"/>
                <w:lang w:val="en-US" w:eastAsia="zh-CN" w:bidi="ar"/>
              </w:rPr>
              <w:t>/</w:t>
            </w:r>
          </w:p>
        </w:tc>
        <w:tc>
          <w:tcPr>
            <w:tcW w:w="1071" w:type="dxa"/>
            <w:shd w:val="clear" w:color="auto" w:fill="FFFFFF" w:themeFill="background1"/>
            <w:vAlign w:val="center"/>
          </w:tcPr>
          <w:p w14:paraId="06B839A9">
            <w:pPr>
              <w:widowControl/>
              <w:jc w:val="center"/>
              <w:textAlignment w:val="center"/>
              <w:rPr>
                <w:rFonts w:ascii="仿宋_GB2312" w:eastAsia="仿宋_GB2312"/>
                <w:sz w:val="20"/>
                <w:szCs w:val="20"/>
                <w:lang w:bidi="ar"/>
              </w:rPr>
            </w:pPr>
            <w:r>
              <w:rPr>
                <w:rFonts w:ascii="仿宋_GB2312" w:eastAsia="仿宋_GB2312"/>
                <w:sz w:val="20"/>
                <w:szCs w:val="20"/>
                <w:lang w:bidi="ar"/>
              </w:rPr>
              <w:t>2025.0</w:t>
            </w:r>
            <w:r>
              <w:rPr>
                <w:rFonts w:hint="eastAsia" w:ascii="仿宋_GB2312" w:eastAsia="仿宋_GB2312"/>
                <w:sz w:val="20"/>
                <w:szCs w:val="20"/>
                <w:lang w:val="en-US" w:eastAsia="zh-CN" w:bidi="ar"/>
              </w:rPr>
              <w:t>3</w:t>
            </w:r>
            <w:r>
              <w:rPr>
                <w:rFonts w:ascii="仿宋_GB2312" w:eastAsia="仿宋_GB2312"/>
                <w:sz w:val="20"/>
                <w:szCs w:val="20"/>
                <w:lang w:bidi="ar"/>
              </w:rPr>
              <w:t>-202</w:t>
            </w:r>
            <w:r>
              <w:rPr>
                <w:rFonts w:hint="eastAsia" w:ascii="仿宋_GB2312" w:eastAsia="仿宋_GB2312"/>
                <w:sz w:val="20"/>
                <w:szCs w:val="20"/>
                <w:lang w:val="en-US" w:eastAsia="zh-CN" w:bidi="ar"/>
              </w:rPr>
              <w:t>6</w:t>
            </w:r>
            <w:r>
              <w:rPr>
                <w:rFonts w:ascii="仿宋_GB2312" w:eastAsia="仿宋_GB2312"/>
                <w:sz w:val="20"/>
                <w:szCs w:val="20"/>
                <w:lang w:bidi="ar"/>
              </w:rPr>
              <w:t>.</w:t>
            </w:r>
            <w:r>
              <w:rPr>
                <w:rFonts w:hint="eastAsia" w:ascii="仿宋_GB2312" w:eastAsia="仿宋_GB2312"/>
                <w:sz w:val="20"/>
                <w:szCs w:val="20"/>
                <w:lang w:val="en-US" w:eastAsia="zh-CN" w:bidi="ar"/>
              </w:rPr>
              <w:t>03</w:t>
            </w:r>
          </w:p>
        </w:tc>
        <w:tc>
          <w:tcPr>
            <w:tcW w:w="5640" w:type="dxa"/>
            <w:shd w:val="clear" w:color="auto" w:fill="FFFFFF" w:themeFill="background1"/>
            <w:vAlign w:val="center"/>
          </w:tcPr>
          <w:p w14:paraId="5D3014B8">
            <w:pPr>
              <w:widowControl/>
              <w:jc w:val="left"/>
              <w:textAlignment w:val="center"/>
              <w:rPr>
                <w:rFonts w:hint="default" w:ascii="仿宋_GB2312" w:eastAsia="仿宋_GB2312"/>
                <w:sz w:val="20"/>
                <w:szCs w:val="20"/>
                <w:lang w:bidi="ar"/>
              </w:rPr>
            </w:pPr>
            <w:r>
              <w:rPr>
                <w:rFonts w:hint="eastAsia" w:ascii="仿宋" w:hAnsi="仿宋" w:eastAsia="仿宋" w:cs="仿宋"/>
                <w:color w:val="000000"/>
                <w:sz w:val="20"/>
                <w:szCs w:val="20"/>
                <w:lang w:val="en-US" w:eastAsia="zh-CN"/>
              </w:rPr>
              <w:t>通过讲座分享个人的工作经历和劳动成果，让学生深刻感受到劳动的价值和意义，从而激发学生对劳动的热爱和尊重；参与到劳动教育课程的设计和实施中来，用实践经验为课程提供宝贵的素材和案例，使得课程内容更加丰富、贴近实际。</w:t>
            </w:r>
          </w:p>
        </w:tc>
      </w:tr>
      <w:tr w14:paraId="5BF6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461" w:hRule="atLeast"/>
          <w:jc w:val="center"/>
        </w:trPr>
        <w:tc>
          <w:tcPr>
            <w:tcW w:w="699" w:type="dxa"/>
            <w:shd w:val="clear" w:color="auto" w:fill="FFFFFF" w:themeFill="background1"/>
            <w:vAlign w:val="center"/>
          </w:tcPr>
          <w:p w14:paraId="3E5A5625">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5</w:t>
            </w:r>
          </w:p>
        </w:tc>
        <w:tc>
          <w:tcPr>
            <w:tcW w:w="860" w:type="dxa"/>
            <w:shd w:val="clear" w:color="auto" w:fill="FFFFFF" w:themeFill="background1"/>
            <w:vAlign w:val="center"/>
          </w:tcPr>
          <w:p w14:paraId="0B75A694">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教师发展中心</w:t>
            </w:r>
          </w:p>
        </w:tc>
        <w:tc>
          <w:tcPr>
            <w:tcW w:w="1041" w:type="dxa"/>
            <w:shd w:val="clear" w:color="auto" w:fill="FFFFFF" w:themeFill="background1"/>
            <w:vAlign w:val="center"/>
          </w:tcPr>
          <w:p w14:paraId="7777D32D">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特聘教授</w:t>
            </w:r>
          </w:p>
        </w:tc>
        <w:tc>
          <w:tcPr>
            <w:tcW w:w="466" w:type="dxa"/>
            <w:shd w:val="clear" w:color="auto" w:fill="FFFFFF" w:themeFill="background1"/>
            <w:vAlign w:val="center"/>
          </w:tcPr>
          <w:p w14:paraId="3F975BE9">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1</w:t>
            </w:r>
          </w:p>
        </w:tc>
        <w:tc>
          <w:tcPr>
            <w:tcW w:w="2005" w:type="dxa"/>
            <w:shd w:val="clear" w:color="auto" w:fill="FFFFFF" w:themeFill="background1"/>
            <w:vAlign w:val="center"/>
          </w:tcPr>
          <w:p w14:paraId="627A1E59">
            <w:pPr>
              <w:widowControl/>
              <w:jc w:val="center"/>
              <w:textAlignment w:val="center"/>
              <w:rPr>
                <w:rFonts w:hint="default" w:ascii="仿宋_GB2312" w:eastAsia="仿宋_GB2312"/>
                <w:sz w:val="20"/>
                <w:szCs w:val="20"/>
                <w:lang w:val="en-US" w:eastAsia="zh-CN" w:bidi="ar"/>
              </w:rPr>
            </w:pPr>
            <w:r>
              <w:rPr>
                <w:rFonts w:hint="eastAsia" w:ascii="仿宋_GB2312" w:eastAsia="仿宋_GB2312"/>
                <w:sz w:val="20"/>
                <w:szCs w:val="20"/>
                <w:lang w:val="en-US" w:eastAsia="zh-CN" w:bidi="ar"/>
              </w:rPr>
              <w:t>/</w:t>
            </w:r>
          </w:p>
        </w:tc>
        <w:tc>
          <w:tcPr>
            <w:tcW w:w="1071" w:type="dxa"/>
            <w:shd w:val="clear" w:color="auto" w:fill="FFFFFF" w:themeFill="background1"/>
            <w:vAlign w:val="center"/>
          </w:tcPr>
          <w:p w14:paraId="3978F9FF">
            <w:pPr>
              <w:widowControl/>
              <w:jc w:val="left"/>
              <w:textAlignment w:val="center"/>
              <w:rPr>
                <w:rFonts w:hint="eastAsia" w:ascii="仿宋_GB2312" w:eastAsia="仿宋_GB2312"/>
                <w:sz w:val="20"/>
                <w:szCs w:val="20"/>
                <w:lang w:bidi="ar"/>
              </w:rPr>
            </w:pPr>
            <w:r>
              <w:rPr>
                <w:rFonts w:ascii="仿宋_GB2312" w:eastAsia="仿宋_GB2312"/>
                <w:sz w:val="20"/>
                <w:szCs w:val="20"/>
                <w:lang w:bidi="ar"/>
              </w:rPr>
              <w:t>2025.0</w:t>
            </w:r>
            <w:r>
              <w:rPr>
                <w:rFonts w:hint="eastAsia" w:ascii="仿宋_GB2312" w:eastAsia="仿宋_GB2312"/>
                <w:sz w:val="20"/>
                <w:szCs w:val="20"/>
                <w:lang w:val="en-US" w:eastAsia="zh-CN" w:bidi="ar"/>
              </w:rPr>
              <w:t>3</w:t>
            </w:r>
            <w:r>
              <w:rPr>
                <w:rFonts w:ascii="仿宋_GB2312" w:eastAsia="仿宋_GB2312"/>
                <w:sz w:val="20"/>
                <w:szCs w:val="20"/>
                <w:lang w:bidi="ar"/>
              </w:rPr>
              <w:t>-202</w:t>
            </w:r>
            <w:r>
              <w:rPr>
                <w:rFonts w:hint="eastAsia" w:ascii="仿宋_GB2312" w:eastAsia="仿宋_GB2312"/>
                <w:sz w:val="20"/>
                <w:szCs w:val="20"/>
                <w:lang w:val="en-US" w:eastAsia="zh-CN" w:bidi="ar"/>
              </w:rPr>
              <w:t>6</w:t>
            </w:r>
            <w:r>
              <w:rPr>
                <w:rFonts w:ascii="仿宋_GB2312" w:eastAsia="仿宋_GB2312"/>
                <w:sz w:val="20"/>
                <w:szCs w:val="20"/>
                <w:lang w:bidi="ar"/>
              </w:rPr>
              <w:t>.</w:t>
            </w:r>
            <w:r>
              <w:rPr>
                <w:rFonts w:hint="eastAsia" w:ascii="仿宋_GB2312" w:eastAsia="仿宋_GB2312"/>
                <w:sz w:val="20"/>
                <w:szCs w:val="20"/>
                <w:lang w:val="en-US" w:eastAsia="zh-CN" w:bidi="ar"/>
              </w:rPr>
              <w:t>03</w:t>
            </w:r>
          </w:p>
        </w:tc>
        <w:tc>
          <w:tcPr>
            <w:tcW w:w="5640" w:type="dxa"/>
            <w:shd w:val="clear" w:color="auto" w:fill="FFFFFF" w:themeFill="background1"/>
            <w:vAlign w:val="center"/>
          </w:tcPr>
          <w:p w14:paraId="44EC7902">
            <w:pPr>
              <w:widowControl/>
              <w:jc w:val="left"/>
              <w:textAlignment w:val="center"/>
              <w:rPr>
                <w:rFonts w:hint="eastAsia" w:ascii="仿宋_GB2312" w:eastAsia="仿宋_GB2312"/>
                <w:sz w:val="20"/>
                <w:szCs w:val="20"/>
                <w:lang w:bidi="ar"/>
              </w:rPr>
            </w:pPr>
            <w:r>
              <w:rPr>
                <w:rFonts w:hint="eastAsia" w:ascii="仿宋" w:hAnsi="仿宋" w:eastAsia="仿宋" w:cs="仿宋"/>
                <w:color w:val="000000"/>
                <w:sz w:val="20"/>
                <w:szCs w:val="20"/>
                <w:lang w:val="en-US" w:eastAsia="zh-CN"/>
              </w:rPr>
              <w:t>负责国家级“双师型”教师培训基地建设和验收工作；协助申报教师队伍建设相关的教学成果奖；协助完成学校师资队伍建设工作；协助完成师资队伍相关的市级课题申报相关工作；负责协调和管理学校的师资队伍建设工作人员。</w:t>
            </w:r>
          </w:p>
        </w:tc>
      </w:tr>
    </w:tbl>
    <w:p w14:paraId="7A1EABDE">
      <w:pPr>
        <w:spacing w:line="20" w:lineRule="exact"/>
        <w:rPr>
          <w:rFonts w:ascii="仿宋" w:hAnsi="仿宋" w:eastAsia="仿宋"/>
          <w:sz w:val="32"/>
          <w:szCs w:val="32"/>
        </w:rPr>
      </w:pPr>
    </w:p>
    <w:p w14:paraId="1150C81C">
      <w:pPr>
        <w:spacing w:line="20" w:lineRule="exact"/>
        <w:jc w:val="right"/>
        <w:rPr>
          <w:rFonts w:ascii="方正仿宋_GBK" w:hAnsi="方正仿宋_GBK" w:eastAsia="方正仿宋_GBK" w:cs="方正仿宋_GBK"/>
          <w:sz w:val="32"/>
          <w:szCs w:val="32"/>
        </w:rPr>
      </w:pPr>
    </w:p>
    <w:sectPr>
      <w:footerReference r:id="rId3" w:type="default"/>
      <w:footerReference r:id="rId4" w:type="even"/>
      <w:pgSz w:w="16840" w:h="11910" w:orient="landscape"/>
      <w:pgMar w:top="1423" w:right="2098" w:bottom="1474" w:left="1871" w:header="0" w:footer="1599" w:gutter="0"/>
      <w:pgBorders>
        <w:top w:val="none" w:sz="0" w:space="0"/>
        <w:left w:val="none" w:sz="0" w:space="0"/>
        <w:bottom w:val="none" w:sz="0" w:space="0"/>
        <w:right w:val="none" w:sz="0" w:space="0"/>
      </w:pgBorders>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1" w:fontKey="{A5749D42-45A1-4EF3-8CE6-C596465142C2}"/>
  </w:font>
  <w:font w:name="方正仿宋_GBK">
    <w:altName w:val="微软雅黑"/>
    <w:panose1 w:val="02000000000000000000"/>
    <w:charset w:val="86"/>
    <w:family w:val="script"/>
    <w:pitch w:val="default"/>
    <w:sig w:usb0="00000000" w:usb1="00000000" w:usb2="00082016" w:usb3="00000000" w:csb0="00040001" w:csb1="00000000"/>
    <w:embedRegular r:id="rId2" w:fontKey="{D964B0E7-A82A-4935-8000-189C3208F319}"/>
  </w:font>
  <w:font w:name="仿宋">
    <w:panose1 w:val="02010609060101010101"/>
    <w:charset w:val="86"/>
    <w:family w:val="modern"/>
    <w:pitch w:val="default"/>
    <w:sig w:usb0="800002BF" w:usb1="38CF7CFA" w:usb2="00000016" w:usb3="00000000" w:csb0="00040001" w:csb1="00000000"/>
    <w:embedRegular r:id="rId3" w:fontKey="{5E72F7A7-2929-484D-954E-EBD60A50F05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A766F5C">
        <w:pPr>
          <w:pStyle w:val="4"/>
          <w:jc w:val="center"/>
        </w:pPr>
        <w:r>
          <w:fldChar w:fldCharType="begin"/>
        </w:r>
        <w:r>
          <w:instrText xml:space="preserve">PAGE   \* MERGEFORMAT</w:instrText>
        </w:r>
        <w:r>
          <w:fldChar w:fldCharType="separate"/>
        </w:r>
        <w:r>
          <w:rPr>
            <w:lang w:val="zh-CN"/>
          </w:rPr>
          <w:t>2</w:t>
        </w:r>
        <w:r>
          <w:fldChar w:fldCharType="end"/>
        </w:r>
      </w:p>
    </w:sdtContent>
  </w:sdt>
  <w:p w14:paraId="4EC911B8">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B8351">
    <w:pPr>
      <w:pStyle w:val="2"/>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ODE2YmY5ZjQ1NGUxODQyNDQwYTE2ZDAzYTQ4MmMifQ=="/>
  </w:docVars>
  <w:rsids>
    <w:rsidRoot w:val="4BE20EC2"/>
    <w:rsid w:val="00057943"/>
    <w:rsid w:val="00061423"/>
    <w:rsid w:val="000C0AA9"/>
    <w:rsid w:val="000F18A4"/>
    <w:rsid w:val="001C3B23"/>
    <w:rsid w:val="002C0BD5"/>
    <w:rsid w:val="00372DD7"/>
    <w:rsid w:val="004D13BF"/>
    <w:rsid w:val="004E266F"/>
    <w:rsid w:val="005C6ECF"/>
    <w:rsid w:val="00614EB4"/>
    <w:rsid w:val="00831BB7"/>
    <w:rsid w:val="009E6321"/>
    <w:rsid w:val="009F3DCF"/>
    <w:rsid w:val="00BA3113"/>
    <w:rsid w:val="00C06878"/>
    <w:rsid w:val="00C56A8F"/>
    <w:rsid w:val="00CD79DA"/>
    <w:rsid w:val="00CE14B6"/>
    <w:rsid w:val="00D828DE"/>
    <w:rsid w:val="00EC275E"/>
    <w:rsid w:val="00FB728F"/>
    <w:rsid w:val="0175262C"/>
    <w:rsid w:val="01F44F75"/>
    <w:rsid w:val="02BC6354"/>
    <w:rsid w:val="03D136B9"/>
    <w:rsid w:val="07475619"/>
    <w:rsid w:val="07583FD0"/>
    <w:rsid w:val="0C503E37"/>
    <w:rsid w:val="0CBB3530"/>
    <w:rsid w:val="0E8611C8"/>
    <w:rsid w:val="0F3343AD"/>
    <w:rsid w:val="0F7200CA"/>
    <w:rsid w:val="0F9D2A41"/>
    <w:rsid w:val="0FBE3D14"/>
    <w:rsid w:val="119360D6"/>
    <w:rsid w:val="12E2768E"/>
    <w:rsid w:val="15784CA9"/>
    <w:rsid w:val="1B5A4CD4"/>
    <w:rsid w:val="1C2A5889"/>
    <w:rsid w:val="1C876837"/>
    <w:rsid w:val="1ECD218B"/>
    <w:rsid w:val="22636C97"/>
    <w:rsid w:val="2781300B"/>
    <w:rsid w:val="2A1134F7"/>
    <w:rsid w:val="31AB3B93"/>
    <w:rsid w:val="33BE6D96"/>
    <w:rsid w:val="33C31507"/>
    <w:rsid w:val="34205B4A"/>
    <w:rsid w:val="37017FAB"/>
    <w:rsid w:val="390E5790"/>
    <w:rsid w:val="3976688F"/>
    <w:rsid w:val="3A1D5902"/>
    <w:rsid w:val="3C743C33"/>
    <w:rsid w:val="3CFD21D6"/>
    <w:rsid w:val="41A61B20"/>
    <w:rsid w:val="43E314A9"/>
    <w:rsid w:val="43E837B0"/>
    <w:rsid w:val="45160169"/>
    <w:rsid w:val="47F97EC3"/>
    <w:rsid w:val="47FC7544"/>
    <w:rsid w:val="4BE20EC2"/>
    <w:rsid w:val="4E94539C"/>
    <w:rsid w:val="51D11AFD"/>
    <w:rsid w:val="520A12CD"/>
    <w:rsid w:val="530D2597"/>
    <w:rsid w:val="53E61ABA"/>
    <w:rsid w:val="562959D0"/>
    <w:rsid w:val="565161AB"/>
    <w:rsid w:val="57560D05"/>
    <w:rsid w:val="58D31068"/>
    <w:rsid w:val="5BA464AC"/>
    <w:rsid w:val="5D697D95"/>
    <w:rsid w:val="60445405"/>
    <w:rsid w:val="60D5216C"/>
    <w:rsid w:val="622137C8"/>
    <w:rsid w:val="63A2520E"/>
    <w:rsid w:val="63B31DA0"/>
    <w:rsid w:val="65AC2185"/>
    <w:rsid w:val="66762D72"/>
    <w:rsid w:val="66F60014"/>
    <w:rsid w:val="696067C0"/>
    <w:rsid w:val="69A91168"/>
    <w:rsid w:val="6C757494"/>
    <w:rsid w:val="6FAD74D8"/>
    <w:rsid w:val="70161521"/>
    <w:rsid w:val="731C1F71"/>
    <w:rsid w:val="743C35CC"/>
    <w:rsid w:val="762A3402"/>
    <w:rsid w:val="77F76C3B"/>
    <w:rsid w:val="79854EC2"/>
    <w:rsid w:val="7AC77DFB"/>
    <w:rsid w:val="7D7E6C1D"/>
    <w:rsid w:val="7EDC0317"/>
    <w:rsid w:val="7F17102E"/>
    <w:rsid w:val="EF7FAEAB"/>
    <w:rsid w:val="FAF72EE4"/>
    <w:rsid w:val="FFB7D1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qFormat/>
    <w:uiPriority w:val="0"/>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99"/>
    <w:rPr>
      <w:kern w:val="2"/>
      <w:sz w:val="18"/>
      <w:szCs w:val="18"/>
    </w:rPr>
  </w:style>
  <w:style w:type="paragraph" w:customStyle="1" w:styleId="10">
    <w:name w:val="正文首行缩进1"/>
    <w:basedOn w:val="2"/>
    <w:qFormat/>
    <w:uiPriority w:val="0"/>
    <w:pPr>
      <w:ind w:firstLine="420" w:firstLineChars="100"/>
    </w:pPr>
    <w:rPr>
      <w:rFonts w:ascii="Calibri" w:hAnsi="Calibri" w:eastAsia="宋体" w:cs="Times New Roman"/>
    </w:rPr>
  </w:style>
  <w:style w:type="character" w:customStyle="1" w:styleId="11">
    <w:name w:val="正文文本 字符"/>
    <w:basedOn w:val="7"/>
    <w:link w:val="2"/>
    <w:qFormat/>
    <w:uiPriority w:val="0"/>
    <w:rPr>
      <w:kern w:val="2"/>
      <w:sz w:val="21"/>
      <w:szCs w:val="24"/>
    </w:rPr>
  </w:style>
  <w:style w:type="character" w:customStyle="1" w:styleId="12">
    <w:name w:val="日期 字符"/>
    <w:basedOn w:val="7"/>
    <w:link w:val="3"/>
    <w:qFormat/>
    <w:uiPriority w:val="0"/>
    <w:rPr>
      <w:kern w:val="2"/>
      <w:sz w:val="21"/>
      <w:szCs w:val="24"/>
    </w:rPr>
  </w:style>
  <w:style w:type="character" w:customStyle="1" w:styleId="13">
    <w:name w:val="font31"/>
    <w:basedOn w:val="7"/>
    <w:qFormat/>
    <w:uiPriority w:val="0"/>
    <w:rPr>
      <w:rFonts w:hint="eastAsia" w:ascii="宋体" w:hAnsi="宋体" w:eastAsia="宋体" w:cs="宋体"/>
      <w:b/>
      <w:bCs/>
      <w:color w:val="000000"/>
      <w:sz w:val="22"/>
      <w:szCs w:val="22"/>
      <w:u w:val="none"/>
    </w:rPr>
  </w:style>
  <w:style w:type="character" w:customStyle="1" w:styleId="14">
    <w:name w:val="font51"/>
    <w:basedOn w:val="7"/>
    <w:qFormat/>
    <w:uiPriority w:val="0"/>
    <w:rPr>
      <w:rFonts w:hint="default" w:ascii="Times New Roman" w:hAnsi="Times New Roman" w:cs="Times New Roman" w:eastAsiaTheme="minorEastAsia"/>
      <w:b/>
      <w:bCs/>
      <w:color w:val="000000"/>
      <w:sz w:val="22"/>
      <w:szCs w:val="22"/>
      <w:u w:val="none"/>
    </w:rPr>
  </w:style>
  <w:style w:type="character" w:customStyle="1" w:styleId="15">
    <w:name w:val="font21"/>
    <w:basedOn w:val="7"/>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1153</Words>
  <Characters>1230</Characters>
  <Lines>4</Lines>
  <Paragraphs>1</Paragraphs>
  <TotalTime>3</TotalTime>
  <ScaleCrop>false</ScaleCrop>
  <LinksUpToDate>false</LinksUpToDate>
  <CharactersWithSpaces>1230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2023-11-22T09:06:00Z</dcterms:created>
  <dc:creator>旭旭</dc:creator>
  <cp:lastModifiedBy>Meng</cp:lastModifiedBy>
  <cp:lastPrinted>2023-11-18T21:43:00Z</cp:lastPrinted>
  <dcterms:modified xsi:type="dcterms:W3CDTF">2025-03-05T03:35:01Z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ACDF77DA5AA748D98B517458CE1EC2F6_13</vt:lpwstr>
  </property>
  <property fmtid="{D5CDD505-2E9C-101B-9397-08002B2CF9AE}" pid="4" name="KSOTemplateDocerSaveRecord">
    <vt:lpwstr>eyJoZGlkIjoiOGM1MWI2NDg2ZTVlN2E0NjRhOTNiY2I5ODA4ZjVlM2YiLCJ1c2VySWQiOiIzMDk0OTM0NzQifQ==</vt:lpwstr>
  </property>
</Properties>
</file>