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DA3C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重庆市万州区走马镇人民政府</w:t>
      </w:r>
    </w:p>
    <w:p w14:paraId="3E4955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2025年3月公益性岗位招聘公告</w:t>
      </w:r>
    </w:p>
    <w:p w14:paraId="38A09F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14:paraId="7A3D8CD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走马镇实际工作需求，现特面向社会公开招聘非全日制公益性岗位人员。现将有关事项公告如下：</w:t>
      </w:r>
    </w:p>
    <w:p w14:paraId="388D49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一、招聘原则</w:t>
      </w:r>
    </w:p>
    <w:p w14:paraId="4FEA2DF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按照公开、公平、公正的原则进行择优招聘。</w:t>
      </w:r>
    </w:p>
    <w:p w14:paraId="0C51EE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二、招聘岗位、人数</w:t>
      </w:r>
    </w:p>
    <w:p w14:paraId="5021D5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岗位性质：非全日制，招聘人数：1人。</w:t>
      </w:r>
    </w:p>
    <w:p w14:paraId="7B03C9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三、招聘对象及条件</w:t>
      </w:r>
    </w:p>
    <w:p w14:paraId="4393C4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（一）招聘对象</w:t>
      </w:r>
    </w:p>
    <w:p w14:paraId="51DD67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走马镇辖区内有劳动能力、就业需求的“4050”人员（登记失业三个月及以上）、脱贫人口等困难就业人员。</w:t>
      </w:r>
    </w:p>
    <w:p w14:paraId="0ECBBE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（二）以下人员不纳入招聘范围：</w:t>
      </w:r>
    </w:p>
    <w:p w14:paraId="27770D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1.已通过其他途径实现就业创业人员</w:t>
      </w:r>
    </w:p>
    <w:p w14:paraId="6CB714D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2.办理了工商营业执照人员</w:t>
      </w:r>
    </w:p>
    <w:p w14:paraId="71F663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3.有单位缴纳社会保险人员</w:t>
      </w:r>
    </w:p>
    <w:p w14:paraId="7D153AE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4.已享受养老保险待遇人员</w:t>
      </w:r>
    </w:p>
    <w:p w14:paraId="10B427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5.向外投资入股20万以上</w:t>
      </w:r>
    </w:p>
    <w:p w14:paraId="4F53E2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6.失信被执行人员</w:t>
      </w:r>
    </w:p>
    <w:p w14:paraId="60407D3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7.无劳动能力、丧失劳动能力、因残疾或患重病不能胜任岗位工作要求的人员</w:t>
      </w:r>
    </w:p>
    <w:p w14:paraId="4A5E2F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8.其他不符合安置条件的人员</w:t>
      </w:r>
    </w:p>
    <w:p w14:paraId="238F65C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四、报名及资格审查</w:t>
      </w:r>
    </w:p>
    <w:p w14:paraId="774F7B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（一）报名</w:t>
      </w:r>
    </w:p>
    <w:p w14:paraId="2EBD24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1.报名时间：202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10</w:t>
      </w:r>
      <w:r>
        <w:rPr>
          <w:rFonts w:hint="default" w:ascii="Times New Roman" w:hAnsi="Times New Roman" w:eastAsia="方正仿宋_GBK" w:cs="Times New Roman"/>
          <w:kern w:val="0"/>
          <w:sz w:val="32"/>
          <w:szCs w:val="32"/>
          <w:lang w:val="en-US" w:eastAsia="zh-CN" w:bidi="ar-SA"/>
        </w:rPr>
        <w:t>日-</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14</w:t>
      </w:r>
      <w:r>
        <w:rPr>
          <w:rFonts w:hint="default" w:ascii="Times New Roman" w:hAnsi="Times New Roman" w:eastAsia="方正仿宋_GBK" w:cs="Times New Roman"/>
          <w:kern w:val="0"/>
          <w:sz w:val="32"/>
          <w:szCs w:val="32"/>
          <w:lang w:val="en-US" w:eastAsia="zh-CN" w:bidi="ar-SA"/>
        </w:rPr>
        <w:t>日</w:t>
      </w:r>
    </w:p>
    <w:p w14:paraId="7E9A96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2.报名地点：重庆市万州区走马镇便民服务中心大厅</w:t>
      </w:r>
    </w:p>
    <w:p w14:paraId="07B61C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3.报名材料：身份证原件及复印件；相关身份证明材料。</w:t>
      </w:r>
    </w:p>
    <w:p w14:paraId="3FDF57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（二）资格审查</w:t>
      </w:r>
    </w:p>
    <w:p w14:paraId="4B4A37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由走马镇政府相关工作人员对报名者提交的材料，对照岗位报名要求，进行资格审查。</w:t>
      </w:r>
    </w:p>
    <w:p w14:paraId="6174E6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五、招聘结果和公示</w:t>
      </w:r>
    </w:p>
    <w:p w14:paraId="0A595BC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根据现场报名审核结果和综合考察情况确定拟录用人员，考察合格后的拟聘人员在重庆市万州区人民政府网公告公示栏向社会公示5个工作日。经公示无异议，走马镇政府按照相关规定与聘用人员签订劳务协议。</w:t>
      </w:r>
    </w:p>
    <w:p w14:paraId="36009F5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六、在岗待遇</w:t>
      </w:r>
    </w:p>
    <w:p w14:paraId="18B755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非全日制公益性岗位待遇以补贴方式发放，每月补贴金额为115</w:t>
      </w:r>
      <w:r>
        <w:rPr>
          <w:rFonts w:hint="eastAsia" w:cs="Times New Roman"/>
          <w:kern w:val="0"/>
          <w:sz w:val="32"/>
          <w:szCs w:val="32"/>
          <w:lang w:val="en-US" w:eastAsia="zh-CN" w:bidi="ar-SA"/>
        </w:rPr>
        <w:t>0</w:t>
      </w:r>
      <w:bookmarkStart w:id="0" w:name="_GoBack"/>
      <w:bookmarkEnd w:id="0"/>
      <w:r>
        <w:rPr>
          <w:rFonts w:hint="default" w:ascii="Times New Roman" w:hAnsi="Times New Roman" w:eastAsia="方正仿宋_GBK" w:cs="Times New Roman"/>
          <w:kern w:val="0"/>
          <w:sz w:val="32"/>
          <w:szCs w:val="32"/>
          <w:lang w:val="en-US" w:eastAsia="zh-CN" w:bidi="ar-SA"/>
        </w:rPr>
        <w:t>元，参工伤保险（不符合参工伤保险条件的购买意外伤害保险）。</w:t>
      </w:r>
    </w:p>
    <w:p w14:paraId="1A7086D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七、其他</w:t>
      </w:r>
    </w:p>
    <w:p w14:paraId="015D95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本招聘公告最终解释权归重庆市万州区</w:t>
      </w:r>
      <w:r>
        <w:rPr>
          <w:rFonts w:hint="eastAsia" w:cs="Times New Roman"/>
          <w:kern w:val="0"/>
          <w:sz w:val="32"/>
          <w:szCs w:val="32"/>
          <w:lang w:val="en-US" w:eastAsia="zh-CN" w:bidi="ar-SA"/>
        </w:rPr>
        <w:t>走马镇</w:t>
      </w:r>
      <w:r>
        <w:rPr>
          <w:rFonts w:hint="default" w:ascii="Times New Roman" w:hAnsi="Times New Roman" w:eastAsia="方正仿宋_GBK" w:cs="Times New Roman"/>
          <w:kern w:val="0"/>
          <w:sz w:val="32"/>
          <w:szCs w:val="32"/>
          <w:lang w:val="en-US" w:eastAsia="zh-CN" w:bidi="ar-SA"/>
        </w:rPr>
        <w:t>人民政府。</w:t>
      </w:r>
    </w:p>
    <w:p w14:paraId="115DE46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14:paraId="264AFD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1621" w:leftChars="200" w:right="0" w:hanging="989" w:hangingChars="313"/>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附件：走马镇202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月非全日制公益性岗位计划招聘一览表</w:t>
      </w:r>
    </w:p>
    <w:p w14:paraId="73A30F0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both"/>
        <w:textAlignment w:val="auto"/>
        <w:rPr>
          <w:rFonts w:hint="default" w:ascii="Times New Roman" w:hAnsi="Times New Roman" w:eastAsia="方正仿宋_GBK" w:cs="Times New Roman"/>
          <w:kern w:val="0"/>
          <w:sz w:val="32"/>
          <w:szCs w:val="32"/>
          <w:lang w:val="en-US" w:eastAsia="zh-CN" w:bidi="ar-SA"/>
        </w:rPr>
      </w:pPr>
    </w:p>
    <w:p w14:paraId="706592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重庆市万州区走马镇人民政府</w:t>
      </w:r>
      <w:r>
        <w:rPr>
          <w:rFonts w:hint="eastAsia" w:ascii="Times New Roman" w:hAnsi="Times New Roman" w:eastAsia="方正仿宋_GBK" w:cs="Times New Roman"/>
          <w:kern w:val="0"/>
          <w:sz w:val="32"/>
          <w:szCs w:val="32"/>
          <w:lang w:val="en-US" w:eastAsia="zh-CN" w:bidi="ar-SA"/>
        </w:rPr>
        <w:t xml:space="preserve">    </w:t>
      </w:r>
    </w:p>
    <w:p w14:paraId="564988B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00"/>
        <w:jc w:val="righ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w:t>
      </w:r>
      <w:r>
        <w:rPr>
          <w:rFonts w:hint="eastAsia"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cs="Times New Roman"/>
          <w:kern w:val="0"/>
          <w:sz w:val="32"/>
          <w:szCs w:val="32"/>
          <w:lang w:val="en-US" w:eastAsia="zh-CN" w:bidi="ar-SA"/>
        </w:rPr>
        <w:t>3</w:t>
      </w:r>
      <w:r>
        <w:rPr>
          <w:rFonts w:hint="default" w:ascii="Times New Roman" w:hAnsi="Times New Roman" w:eastAsia="方正仿宋_GBK" w:cs="Times New Roman"/>
          <w:kern w:val="0"/>
          <w:sz w:val="32"/>
          <w:szCs w:val="32"/>
          <w:lang w:val="en-US" w:eastAsia="zh-CN" w:bidi="ar-SA"/>
        </w:rPr>
        <w:t>月</w:t>
      </w:r>
      <w:r>
        <w:rPr>
          <w:rFonts w:hint="eastAsia" w:cs="Times New Roman"/>
          <w:kern w:val="0"/>
          <w:sz w:val="32"/>
          <w:szCs w:val="32"/>
          <w:lang w:val="en-US" w:eastAsia="zh-CN" w:bidi="ar-SA"/>
        </w:rPr>
        <w:t>10</w:t>
      </w:r>
      <w:r>
        <w:rPr>
          <w:rFonts w:hint="default" w:ascii="Times New Roman" w:hAnsi="Times New Roman" w:eastAsia="方正仿宋_GBK" w:cs="Times New Roman"/>
          <w:kern w:val="0"/>
          <w:sz w:val="32"/>
          <w:szCs w:val="32"/>
          <w:lang w:val="en-US" w:eastAsia="zh-CN" w:bidi="ar-SA"/>
        </w:rPr>
        <w:t>日</w:t>
      </w:r>
      <w:r>
        <w:rPr>
          <w:rFonts w:hint="eastAsia" w:ascii="Times New Roman" w:hAnsi="Times New Roman" w:eastAsia="方正仿宋_GBK" w:cs="Times New Roman"/>
          <w:kern w:val="0"/>
          <w:sz w:val="32"/>
          <w:szCs w:val="32"/>
          <w:lang w:val="en-US" w:eastAsia="zh-CN" w:bidi="ar-SA"/>
        </w:rPr>
        <w:t xml:space="preserve">     </w:t>
      </w:r>
      <w:r>
        <w:rPr>
          <w:rFonts w:hint="eastAsia"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p>
    <w:p w14:paraId="3B1B54B8">
      <w:pPr>
        <w:keepNext w:val="0"/>
        <w:keepLines w:val="0"/>
        <w:pageBreakBefore w:val="0"/>
        <w:widowControl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7BDC9A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Calibri" w:hAnsi="Calibri" w:cs="Calibri"/>
          <w:sz w:val="24"/>
          <w:szCs w:val="24"/>
        </w:rPr>
      </w:pPr>
      <w:r>
        <w:rPr>
          <w:rFonts w:hint="default" w:ascii="方正黑体_GBK" w:hAnsi="方正黑体_GBK" w:eastAsia="方正黑体_GBK" w:cs="方正黑体_GBK"/>
          <w:i w:val="0"/>
          <w:caps w:val="0"/>
          <w:color w:val="333333"/>
          <w:spacing w:val="30"/>
          <w:sz w:val="28"/>
          <w:szCs w:val="28"/>
          <w:shd w:val="clear" w:fill="FFFFFF"/>
        </w:rPr>
        <w:t>附件</w:t>
      </w:r>
    </w:p>
    <w:p w14:paraId="00BEDA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方正小标宋_GBK" w:hAnsi="方正小标宋_GBK" w:eastAsia="方正小标宋_GBK" w:cs="方正小标宋_GBK"/>
          <w:i w:val="0"/>
          <w:caps w:val="0"/>
          <w:color w:val="333333"/>
          <w:spacing w:val="0"/>
          <w:sz w:val="36"/>
          <w:szCs w:val="36"/>
          <w:shd w:val="clear" w:fill="FFFFFF"/>
        </w:rPr>
      </w:pPr>
    </w:p>
    <w:p w14:paraId="51ABBB6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333333"/>
          <w:spacing w:val="0"/>
          <w:sz w:val="44"/>
          <w:szCs w:val="44"/>
          <w:shd w:val="clear" w:fill="FFFFFF"/>
          <w:lang w:eastAsia="zh-CN"/>
        </w:rPr>
        <w:t>走马镇</w:t>
      </w:r>
      <w:r>
        <w:rPr>
          <w:rFonts w:hint="default" w:ascii="Times New Roman" w:hAnsi="Times New Roman" w:eastAsia="方正小标宋_GBK" w:cs="Times New Roman"/>
          <w:i w:val="0"/>
          <w:caps w:val="0"/>
          <w:color w:val="333333"/>
          <w:spacing w:val="0"/>
          <w:sz w:val="44"/>
          <w:szCs w:val="44"/>
          <w:shd w:val="clear" w:fill="FFFFFF"/>
        </w:rPr>
        <w:t>202</w:t>
      </w:r>
      <w:r>
        <w:rPr>
          <w:rFonts w:hint="eastAsia" w:eastAsia="方正小标宋_GBK" w:cs="Times New Roman"/>
          <w:i w:val="0"/>
          <w:caps w:val="0"/>
          <w:color w:val="333333"/>
          <w:spacing w:val="0"/>
          <w:sz w:val="44"/>
          <w:szCs w:val="44"/>
          <w:shd w:val="clear" w:fill="FFFFFF"/>
          <w:lang w:val="en-US" w:eastAsia="zh-CN"/>
        </w:rPr>
        <w:t>5</w:t>
      </w:r>
      <w:r>
        <w:rPr>
          <w:rFonts w:hint="default" w:ascii="Times New Roman" w:hAnsi="Times New Roman" w:eastAsia="方正小标宋_GBK" w:cs="Times New Roman"/>
          <w:i w:val="0"/>
          <w:caps w:val="0"/>
          <w:color w:val="333333"/>
          <w:spacing w:val="0"/>
          <w:sz w:val="44"/>
          <w:szCs w:val="44"/>
          <w:shd w:val="clear" w:fill="FFFFFF"/>
        </w:rPr>
        <w:t>年</w:t>
      </w:r>
      <w:r>
        <w:rPr>
          <w:rFonts w:hint="eastAsia" w:eastAsia="方正小标宋_GBK" w:cs="Times New Roman"/>
          <w:i w:val="0"/>
          <w:caps w:val="0"/>
          <w:color w:val="333333"/>
          <w:spacing w:val="0"/>
          <w:sz w:val="44"/>
          <w:szCs w:val="44"/>
          <w:shd w:val="clear" w:fill="FFFFFF"/>
          <w:lang w:val="en-US" w:eastAsia="zh-CN"/>
        </w:rPr>
        <w:t>3</w:t>
      </w:r>
      <w:r>
        <w:rPr>
          <w:rFonts w:hint="default" w:ascii="Times New Roman" w:hAnsi="Times New Roman" w:eastAsia="方正小标宋_GBK" w:cs="Times New Roman"/>
          <w:i w:val="0"/>
          <w:caps w:val="0"/>
          <w:color w:val="333333"/>
          <w:spacing w:val="0"/>
          <w:sz w:val="44"/>
          <w:szCs w:val="44"/>
          <w:shd w:val="clear" w:fill="FFFFFF"/>
        </w:rPr>
        <w:t>月非全日制公益性岗位计划招聘一览表</w:t>
      </w:r>
    </w:p>
    <w:p w14:paraId="1F7EED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Calibri" w:hAnsi="Calibri" w:cs="Calibri"/>
          <w:sz w:val="24"/>
          <w:szCs w:val="24"/>
        </w:rPr>
      </w:pPr>
    </w:p>
    <w:tbl>
      <w:tblPr>
        <w:tblStyle w:val="3"/>
        <w:tblW w:w="4997"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0"/>
        <w:gridCol w:w="1181"/>
        <w:gridCol w:w="842"/>
        <w:gridCol w:w="812"/>
        <w:gridCol w:w="2132"/>
        <w:gridCol w:w="1610"/>
        <w:gridCol w:w="1933"/>
      </w:tblGrid>
      <w:tr w14:paraId="1E25A9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298" w:type="pc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F7D0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序号</w:t>
            </w:r>
          </w:p>
        </w:tc>
        <w:tc>
          <w:tcPr>
            <w:tcW w:w="652"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8D88C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14:paraId="28E99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名称</w:t>
            </w:r>
          </w:p>
        </w:tc>
        <w:tc>
          <w:tcPr>
            <w:tcW w:w="465"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F2E7B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岗位</w:t>
            </w:r>
          </w:p>
          <w:p w14:paraId="171848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数量</w:t>
            </w:r>
          </w:p>
        </w:tc>
        <w:tc>
          <w:tcPr>
            <w:tcW w:w="448"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E7347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用工</w:t>
            </w:r>
          </w:p>
          <w:p w14:paraId="5AA657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性质</w:t>
            </w:r>
          </w:p>
        </w:tc>
        <w:tc>
          <w:tcPr>
            <w:tcW w:w="117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D2A9C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工作要求</w:t>
            </w:r>
          </w:p>
        </w:tc>
        <w:tc>
          <w:tcPr>
            <w:tcW w:w="889"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0BC7B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薪资待遇</w:t>
            </w:r>
          </w:p>
        </w:tc>
        <w:tc>
          <w:tcPr>
            <w:tcW w:w="1067" w:type="pc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CAB46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color w:val="333333"/>
                <w:spacing w:val="0"/>
                <w:sz w:val="32"/>
                <w:szCs w:val="32"/>
                <w:shd w:val="clear" w:fill="FFFFFF"/>
              </w:rPr>
              <w:t>工作地点</w:t>
            </w:r>
          </w:p>
        </w:tc>
      </w:tr>
      <w:tr w14:paraId="10D585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298"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D2DB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652" w:type="pct"/>
            <w:tcBorders>
              <w:top w:val="nil"/>
              <w:left w:val="nil"/>
              <w:bottom w:val="single" w:color="auto" w:sz="6" w:space="0"/>
              <w:right w:val="single" w:color="auto" w:sz="6" w:space="0"/>
            </w:tcBorders>
            <w:shd w:val="clear" w:color="auto" w:fill="auto"/>
            <w:tcMar>
              <w:left w:w="105" w:type="dxa"/>
              <w:right w:w="105" w:type="dxa"/>
            </w:tcMar>
            <w:vAlign w:val="center"/>
          </w:tcPr>
          <w:p w14:paraId="7CED42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保洁员</w:t>
            </w:r>
          </w:p>
        </w:tc>
        <w:tc>
          <w:tcPr>
            <w:tcW w:w="465" w:type="pct"/>
            <w:tcBorders>
              <w:top w:val="nil"/>
              <w:left w:val="nil"/>
              <w:bottom w:val="single" w:color="auto" w:sz="6" w:space="0"/>
              <w:right w:val="single" w:color="auto" w:sz="6" w:space="0"/>
            </w:tcBorders>
            <w:shd w:val="clear" w:color="auto" w:fill="auto"/>
            <w:tcMar>
              <w:left w:w="105" w:type="dxa"/>
              <w:right w:w="105" w:type="dxa"/>
            </w:tcMar>
            <w:vAlign w:val="center"/>
          </w:tcPr>
          <w:p w14:paraId="74DB8B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w:t>
            </w:r>
          </w:p>
        </w:tc>
        <w:tc>
          <w:tcPr>
            <w:tcW w:w="448" w:type="pct"/>
            <w:tcBorders>
              <w:top w:val="nil"/>
              <w:left w:val="nil"/>
              <w:bottom w:val="single" w:color="auto" w:sz="6" w:space="0"/>
              <w:right w:val="single" w:color="auto" w:sz="6" w:space="0"/>
            </w:tcBorders>
            <w:shd w:val="clear" w:color="auto" w:fill="auto"/>
            <w:tcMar>
              <w:left w:w="105" w:type="dxa"/>
              <w:right w:w="105" w:type="dxa"/>
            </w:tcMar>
            <w:vAlign w:val="center"/>
          </w:tcPr>
          <w:p w14:paraId="0C237F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非全日制</w:t>
            </w:r>
          </w:p>
        </w:tc>
        <w:tc>
          <w:tcPr>
            <w:tcW w:w="1177" w:type="pct"/>
            <w:tcBorders>
              <w:top w:val="nil"/>
              <w:left w:val="nil"/>
              <w:bottom w:val="single" w:color="auto" w:sz="6" w:space="0"/>
              <w:right w:val="single" w:color="auto" w:sz="6" w:space="0"/>
            </w:tcBorders>
            <w:shd w:val="clear" w:color="auto" w:fill="auto"/>
            <w:tcMar>
              <w:left w:w="105" w:type="dxa"/>
              <w:right w:w="105" w:type="dxa"/>
            </w:tcMar>
            <w:vAlign w:val="center"/>
          </w:tcPr>
          <w:p w14:paraId="0CC81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30"/>
                <w:sz w:val="32"/>
                <w:szCs w:val="32"/>
                <w:shd w:val="clear" w:fill="FFFFFF"/>
              </w:rPr>
              <w:t>完成指定区域保洁工作</w:t>
            </w:r>
          </w:p>
        </w:tc>
        <w:tc>
          <w:tcPr>
            <w:tcW w:w="889" w:type="pct"/>
            <w:tcBorders>
              <w:top w:val="nil"/>
              <w:left w:val="nil"/>
              <w:bottom w:val="single" w:color="auto" w:sz="6" w:space="0"/>
              <w:right w:val="single" w:color="auto" w:sz="6" w:space="0"/>
            </w:tcBorders>
            <w:shd w:val="clear" w:color="auto" w:fill="auto"/>
            <w:tcMar>
              <w:left w:w="105" w:type="dxa"/>
              <w:right w:w="105" w:type="dxa"/>
            </w:tcMar>
            <w:vAlign w:val="center"/>
          </w:tcPr>
          <w:p w14:paraId="30AB0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pacing w:val="0"/>
                <w:sz w:val="32"/>
                <w:szCs w:val="32"/>
                <w:shd w:val="clear" w:fill="FFFFFF"/>
              </w:rPr>
              <w:t>115</w:t>
            </w:r>
            <w:r>
              <w:rPr>
                <w:rFonts w:hint="eastAsia" w:cs="Times New Roman"/>
                <w:color w:val="333333"/>
                <w:spacing w:val="0"/>
                <w:sz w:val="32"/>
                <w:szCs w:val="32"/>
                <w:shd w:val="clear" w:fill="FFFFFF"/>
                <w:lang w:val="en-US" w:eastAsia="zh-CN"/>
              </w:rPr>
              <w:t>0</w:t>
            </w:r>
            <w:r>
              <w:rPr>
                <w:rFonts w:hint="default" w:ascii="Times New Roman" w:hAnsi="Times New Roman" w:eastAsia="方正仿宋_GBK" w:cs="Times New Roman"/>
                <w:color w:val="333333"/>
                <w:spacing w:val="0"/>
                <w:sz w:val="32"/>
                <w:szCs w:val="32"/>
                <w:shd w:val="clear" w:fill="FFFFFF"/>
              </w:rPr>
              <w:t>元/月</w:t>
            </w:r>
          </w:p>
        </w:tc>
        <w:tc>
          <w:tcPr>
            <w:tcW w:w="1067" w:type="pct"/>
            <w:tcBorders>
              <w:top w:val="nil"/>
              <w:left w:val="nil"/>
              <w:bottom w:val="single" w:color="auto" w:sz="6" w:space="0"/>
              <w:right w:val="single" w:color="auto" w:sz="6" w:space="0"/>
            </w:tcBorders>
            <w:shd w:val="clear" w:color="auto" w:fill="auto"/>
            <w:tcMar>
              <w:left w:w="105" w:type="dxa"/>
              <w:right w:w="105" w:type="dxa"/>
            </w:tcMar>
            <w:vAlign w:val="center"/>
          </w:tcPr>
          <w:p w14:paraId="329546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pacing w:val="0"/>
                <w:sz w:val="32"/>
                <w:szCs w:val="32"/>
                <w:shd w:val="clear" w:fill="FFFFFF"/>
                <w:lang w:val="en-US" w:eastAsia="zh-CN"/>
              </w:rPr>
              <w:t>走马镇</w:t>
            </w:r>
            <w:r>
              <w:rPr>
                <w:rFonts w:hint="eastAsia" w:cs="Times New Roman"/>
                <w:color w:val="333333"/>
                <w:spacing w:val="0"/>
                <w:sz w:val="32"/>
                <w:szCs w:val="32"/>
                <w:shd w:val="clear" w:fill="FFFFFF"/>
                <w:lang w:val="en-US" w:eastAsia="zh-CN"/>
              </w:rPr>
              <w:t>马安</w:t>
            </w:r>
            <w:r>
              <w:rPr>
                <w:rFonts w:hint="default" w:ascii="Times New Roman" w:hAnsi="Times New Roman" w:eastAsia="方正仿宋_GBK" w:cs="Times New Roman"/>
                <w:color w:val="333333"/>
                <w:spacing w:val="0"/>
                <w:sz w:val="32"/>
                <w:szCs w:val="32"/>
                <w:shd w:val="clear" w:fill="FFFFFF"/>
                <w:lang w:val="en-US" w:eastAsia="zh-CN"/>
              </w:rPr>
              <w:t>村</w:t>
            </w:r>
          </w:p>
        </w:tc>
      </w:tr>
    </w:tbl>
    <w:p w14:paraId="19534B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line="368" w:lineRule="atLeast"/>
        <w:ind w:left="0" w:right="0" w:firstLine="0"/>
        <w:jc w:val="both"/>
        <w:rPr>
          <w:rFonts w:hint="default" w:ascii="Calibri" w:hAnsi="Calibri" w:cs="Calibri"/>
          <w:sz w:val="21"/>
          <w:szCs w:val="21"/>
        </w:rPr>
      </w:pPr>
    </w:p>
    <w:p w14:paraId="0E690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14:paraId="441E71AD"/>
    <w:sectPr>
      <w:pgSz w:w="11906" w:h="16838"/>
      <w:pgMar w:top="1984" w:right="1474" w:bottom="1814" w:left="1587" w:header="851" w:footer="992" w:gutter="0"/>
      <w:cols w:space="0" w:num="1"/>
      <w:rtlGutter w:val="0"/>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D2A88"/>
    <w:rsid w:val="010F2EED"/>
    <w:rsid w:val="05E774BE"/>
    <w:rsid w:val="09495A0E"/>
    <w:rsid w:val="0E9D1C03"/>
    <w:rsid w:val="1A993195"/>
    <w:rsid w:val="28DA6D79"/>
    <w:rsid w:val="57BFA9A8"/>
    <w:rsid w:val="644D2A88"/>
    <w:rsid w:val="7DB7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走马镇</Company>
  <Pages>4</Pages>
  <Words>875</Words>
  <Characters>930</Characters>
  <Lines>0</Lines>
  <Paragraphs>0</Paragraphs>
  <TotalTime>15</TotalTime>
  <ScaleCrop>false</ScaleCrop>
  <LinksUpToDate>false</LinksUpToDate>
  <CharactersWithSpaces>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2024-11-05T10:08:00Z</dcterms:created>
  <dc:creator>Administrator</dc:creator>
  <cp:lastModifiedBy>吴承丽</cp:lastModifiedBy>
  <dcterms:modified xsi:type="dcterms:W3CDTF">2025-03-10T03:39:27Z</dcterms:modified>
  <dc:title>重庆市万州区梨树乡人民政府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BD76AB647FBA470EB9C35E01389B75EC_13</vt:lpwstr>
  </property>
  <property fmtid="{D5CDD505-2E9C-101B-9397-08002B2CF9AE}" pid="4" name="KSOTemplateDocerSaveRecord">
    <vt:lpwstr>eyJoZGlkIjoiNTA5NDc1MGExZmE5NWUxMTRmYjQ5YzdiMTk4MTEyNzEiLCJ1c2VySWQiOiIxNDg5MTg1OTQ2In0=</vt:lpwstr>
  </property>
</Properties>
</file>