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十堰市市直事业单位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2025年统一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outlineLvl w:val="0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克罗地亚语，土耳其语，希腊语，匈牙利语，意大利语，捷克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斯洛伐克语，泰米尔语，普什图语，世界语，孟加拉语，尼泊尔语，塞尔维亚语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克罗地亚语，克罗地亚语，爱尔兰语，荷兰语，芬兰语，乌克兰语，韩国语，挪威语，丹麦语，立陶宛语，爱沙尼亚语，马耳他语，冰岛语，翻译，国际经济与贸易英语，商贸英语，商务英语，应用英语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学前教育，将殊教育，教育技术学，小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敎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社会学，人口学，人类学，民俗学，社会工作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社会学，社会工作，社会工作与管理，人类学，女性学，家政学，人口学等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基础心理学，发展与教育心理学，应用心理学，认知神经科学，应用心理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心理学，应用心理学，基础心理学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，护理，社区护理学等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费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 书法学，照明艺术，数字电影技术，会展艺术与技术，导演，表演，戏剧文学，舞台设计，灯光设计，演出音响设计，戏曲文学，戏曲作的，文艺编导，电视编辑，电影文学，电影摄影，电影电视美术设计，录音艺术，文化艺术事业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艺术与科技，视觉传达设计，环境设计，产品设计，服装与服饰设计，数字媒体艺术、广告学，媒体创意等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矿业类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设施农业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农业科技组织与服务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农业信息化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种业）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草业）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动物科学，蚕学，蜂学，动物生物技术，畜禽生产教育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动物医学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动物药学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动植物检疫，畜牧兽医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化学，应用化学，化学生物学，分子科学与工程，化学教育，放射化学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安全科学与工程类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安全科学与工程，安全工程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安全工程，安全科学与工程，雷电防护科学与技术，灾害防治工程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，抢险救援指挥与技术等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能源动力类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工程热物理，热能工程，动力机械及工程，流体机械及工程，制冷及低温工程，化工过程机械，动力工程，动力工程及工程热物理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一般力学与力学基础，固体力学，流体力学，工程力学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理论与应用力学，工程力学，工程结构分析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林学类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林木遗传育种，森林培育，森林保护学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森林经理学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野生动植物保护与利用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园林植物与观赏园艺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林业，风景园林，林业硕士专业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森林保护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森林资源保护与游憩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经济林，风景园林，园林，园林工程，林木生产教育，林学教育，森林资源管理与经济林方向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设计学类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设计学，设计艺术学，艺术（艺术设计）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广告学，媒体创意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风景园林类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园林，风景园林，花卉学，园林树木学，园林植物育种学，园林植物栽培学，园林工程，园林规划设计，园林绿地规划设计，园林工程技术，植物学，生态学，园林植物与观赏园艺，园艺学，景观规划与设计等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机械设计制造及其自动化，机械工程及自动化，机械制造及自动化，制造自动化与测控技术等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99FD5443"/>
    <w:rsid w:val="ACFBC4C9"/>
    <w:rsid w:val="ADED240E"/>
    <w:rsid w:val="AFE76FAF"/>
    <w:rsid w:val="B0372D0B"/>
    <w:rsid w:val="B7F2A3DE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DBE4061"/>
    <w:rsid w:val="EF6FA442"/>
    <w:rsid w:val="F17DBFEC"/>
    <w:rsid w:val="F2FB83B0"/>
    <w:rsid w:val="F77E6201"/>
    <w:rsid w:val="F7DD3EB3"/>
    <w:rsid w:val="F7FED3D0"/>
    <w:rsid w:val="F8AF7489"/>
    <w:rsid w:val="FBBF1939"/>
    <w:rsid w:val="FD65B6A5"/>
    <w:rsid w:val="FD79D623"/>
    <w:rsid w:val="FEFF6EFD"/>
    <w:rsid w:val="FF5F5AEC"/>
    <w:rsid w:val="FF7D88A8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14649</Words>
  <Characters>14660</Characters>
  <Lines>0</Lines>
  <Paragraphs>0</Paragraphs>
  <TotalTime>1</TotalTime>
  <ScaleCrop>false</ScaleCrop>
  <LinksUpToDate>false</LinksUpToDate>
  <CharactersWithSpaces>14761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2018-01-20T11:07:00Z</dcterms:created>
  <dc:creator>pc</dc:creator>
  <cp:lastModifiedBy>黄榜</cp:lastModifiedBy>
  <cp:lastPrinted>2025-02-14T17:17:42Z</cp:lastPrinted>
  <dcterms:modified xsi:type="dcterms:W3CDTF">2025-02-14T18:18:30Z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5999A62C5ADA47B9ACD1CC7876B01B44</vt:lpwstr>
  </property>
</Properties>
</file>