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1F4D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14:paraId="5E2391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14:paraId="7ED09E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14:paraId="58DD5E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14:paraId="15794E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14:paraId="40CA63E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14:paraId="5A4E9F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14:paraId="3B4A71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14:paraId="1DF635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14:paraId="1CD9D9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14:paraId="2FCF9E6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14:paraId="19EE79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14:paraId="4A586A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14:paraId="08305B0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14:paraId="05A0767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14:paraId="5AC3906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14:paraId="0967CD9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14:paraId="1AF8B38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14:paraId="61BFBB8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14:paraId="3E0A813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14:paraId="2C760A7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14:paraId="3E3D939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14:paraId="0BE0169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14:paraId="21D1541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3997AC0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14:paraId="79E6E6E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14:paraId="33381B0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14:paraId="15D4F7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14:paraId="59F0ECE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14:paraId="4B6D5FB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14:paraId="4B79497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14:paraId="335F584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14:paraId="7F79F97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14:paraId="43F8EA2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14:paraId="057D6E8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14:paraId="72A402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14:paraId="51C42EB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14:paraId="6C52D4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14:paraId="346DCE2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14:paraId="73B906D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14:paraId="446C5DF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14:paraId="4F6F959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14:paraId="0476A54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14:paraId="25535FF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14:paraId="793AB0A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14:paraId="1B0CAAC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14:paraId="288EF2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14:paraId="6B49D2C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14:paraId="7866F3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14:paraId="0519C65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14:paraId="304C4F8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14:paraId="1D4C150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14:paraId="102D984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14:paraId="46F67FF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14:paraId="2660DB3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14:paraId="16814DB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14:paraId="379BEC7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50F7CC2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14:paraId="0C48B5F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14:paraId="138BECB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14:paraId="634197E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14:paraId="310E5C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14:paraId="1A46340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14:paraId="265882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1CB415F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14:paraId="076B9E2E">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14:paraId="7DD9E3B3">
      <w:pPr>
        <w:rPr>
          <w:rFonts w:hint="eastAsia" w:ascii="仿宋_GB2312" w:hAnsi="仿宋_GB2312" w:eastAsia="仿宋_GB2312" w:cs="仿宋_GB2312"/>
          <w:sz w:val="36"/>
          <w:szCs w:val="36"/>
        </w:rPr>
      </w:pPr>
    </w:p>
    <w:p w14:paraId="47F57E0C">
      <w:pPr>
        <w:rPr>
          <w:rFonts w:hint="eastAsia" w:ascii="仿宋_GB2312" w:hAnsi="仿宋_GB2312" w:eastAsia="仿宋_GB2312" w:cs="仿宋_GB2312"/>
          <w:sz w:val="36"/>
          <w:szCs w:val="36"/>
        </w:rPr>
      </w:pPr>
    </w:p>
    <w:p w14:paraId="7058FE90">
      <w:pPr>
        <w:rPr>
          <w:rFonts w:hint="eastAsia" w:ascii="仿宋_GB2312" w:hAnsi="仿宋_GB2312" w:eastAsia="仿宋_GB2312" w:cs="仿宋_GB2312"/>
          <w:sz w:val="36"/>
          <w:szCs w:val="36"/>
        </w:rPr>
      </w:pPr>
    </w:p>
    <w:p w14:paraId="06EB7BE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14:paraId="2576F2A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14:paraId="088F26B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6D86DFB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14:paraId="762BE34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14:paraId="55EE2D3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14:paraId="764AFD6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14:paraId="4547BF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14:paraId="1EB3626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14:paraId="4CF70E9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14:paraId="6D3CB0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14:paraId="0888E7B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66EA47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14:paraId="05BE599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14:paraId="4280062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14:paraId="097EC8E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14:paraId="64C8BB7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14:paraId="24EFD2F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14:paraId="6BF1E9F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14:paraId="11528CA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14:paraId="5045FCE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14:paraId="68BB6B4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14:paraId="27749D3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14:paraId="684C2EA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14:paraId="09E4493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14:paraId="7DD4026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14:paraId="34B1A96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14:paraId="2A3B598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14:paraId="75A3E86D">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14:paraId="6C14B989">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14:paraId="4BB76A8D">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14:paraId="10741289">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14:paraId="1910EC3F">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14:paraId="20B43EC5">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14:paraId="713A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noWrap w:val="0"/>
            <w:vAlign w:val="center"/>
          </w:tcPr>
          <w:p w14:paraId="7D87737D">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14:paraId="4CCB4011">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14:paraId="0E9D6190">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14:paraId="0BC943DE">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14:paraId="02B8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191C9400">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14:paraId="70BC246D">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14:paraId="72D2ACB5">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55BEB01D">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14:paraId="129F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33B90993">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0F553F02">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14:paraId="505CC734">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2851E479">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14:paraId="6CEB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09BFD32C">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14:paraId="21F70644">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14:paraId="25A5B521">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22A0D29C">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14:paraId="1907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1143A12F">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26CB35B5">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14:paraId="3F651E03">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683AAE7B">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14:paraId="4ACC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35F9E1ED">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57465D7C">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14:paraId="76995BE7">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6717EBDD">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14:paraId="10FA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0159F553">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335F21D4">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14:paraId="79EA3FF3">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1F87EEEE">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14:paraId="300F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067BB181">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23C88C78">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14:paraId="36B65DB3">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2E50DE9E">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14:paraId="35C5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26874D79">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3535E1EA">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14:paraId="7F90B566">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168D8E77">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14:paraId="50F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289F288D">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14:paraId="1DAAB883">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14:paraId="652DEE1D">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14:paraId="55F137A7">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14:paraId="081A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0C42FE70">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37967425">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14:paraId="67A86408">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14:paraId="1DE1A99E">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14:paraId="1714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14:paraId="7AB6283D">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14:paraId="6F03CD60">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14:paraId="12F2C00B">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0F41A313">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14:paraId="1B4B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43A25371">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4F25992B">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14:paraId="5049932C">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1B83008C">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14:paraId="2F9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14:paraId="62F3270E">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14:paraId="00F71332">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14:paraId="4A45E438">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14:paraId="0DCF8795">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14:paraId="5B3CAB9E">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14:paraId="57E554A7">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14:paraId="23D9CD24">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14:paraId="0748B9F2">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14:paraId="1A184A13">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14:paraId="12507E46">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14:paraId="000C04C2">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14:paraId="274A5006">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14:paraId="1BFB2CF7">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14:paraId="78538CE5">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14:paraId="1221AEBD">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14:paraId="1FB96D15">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14:paraId="022E1141">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14:paraId="330C05F0">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14:paraId="2215DD7B">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14:paraId="608B37E8">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14:paraId="440D411A">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14:paraId="78BDDB8A">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14:paraId="78F131D3">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14:paraId="05AA9AEA">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14:paraId="08649EF1">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14:paraId="1683738C">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14:paraId="44D6623C">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14:paraId="129FAF84">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14:paraId="2460F49D">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14:paraId="5CAC556E">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14:paraId="59FE51A7">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14:paraId="080647D2">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14:paraId="5917F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14:paraId="57AEC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14:paraId="2D5EE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14:paraId="7A7BC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14:paraId="309C9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14:paraId="64C24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14:paraId="6842F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14:paraId="5B348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14:paraId="6DC6C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14:paraId="2E0DD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14:paraId="0DF21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14:paraId="63BF2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14:paraId="19B53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14:paraId="3A40E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14:paraId="560C9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14:paraId="34628D7C">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4B7CB4D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3AB415F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4AC5B2B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14:paraId="2DCE4B58">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00"/>
    <w:family w:val="auto"/>
    <w:pitch w:val="default"/>
    <w:sig w:usb0="00000000" w:usb1="00000000" w:usb2="00000000" w:usb3="00000000" w:csb0="00040000" w:csb1="00000000"/>
  </w:font>
  <w:font w:name="汉仪行楷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3F3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A88E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0A88E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2CFF2B23"/>
    <w:rsid w:val="364E6647"/>
    <w:rsid w:val="5F6D3FAC"/>
    <w:rsid w:val="5FFBA912"/>
    <w:rsid w:val="5FFE8E06"/>
    <w:rsid w:val="639544AB"/>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6340</Words>
  <Characters>6556</Characters>
  <Lines>0</Lines>
  <Paragraphs>0</Paragraphs>
  <TotalTime>1</TotalTime>
  <ScaleCrop>false</ScaleCrop>
  <LinksUpToDate>false</LinksUpToDate>
  <CharactersWithSpaces>7052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任微任为</cp:lastModifiedBy>
  <cp:lastPrinted>2025-01-18T04:00:00Z</cp:lastPrinted>
  <dcterms:modified xsi:type="dcterms:W3CDTF">2025-01-24T04:10:16Z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D49DCBD669504EBAA660B62A2BB56553_13</vt:lpwstr>
  </property>
</Properties>
</file>