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48F7A8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jc w:val="left"/>
        <w:textAlignment w:val="auto"/>
        <w:rPr>
          <w:rFonts w:hint="eastAsia" w:ascii="仿宋" w:hAnsi="仿宋" w:eastAsia="仿宋"/>
          <w:spacing w:val="-16"/>
          <w:sz w:val="32"/>
          <w:szCs w:val="32"/>
        </w:rPr>
      </w:pPr>
      <w:r>
        <w:rPr>
          <w:rFonts w:hint="eastAsia" w:ascii="仿宋" w:hAnsi="仿宋" w:eastAsia="仿宋"/>
          <w:spacing w:val="-2"/>
          <w:sz w:val="32"/>
          <w:szCs w:val="32"/>
        </w:rPr>
        <w:t>附件</w:t>
      </w:r>
      <w:r>
        <w:rPr>
          <w:rFonts w:hint="eastAsia" w:ascii="仿宋" w:hAnsi="仿宋" w:eastAsia="仿宋"/>
          <w:spacing w:val="-16"/>
          <w:sz w:val="32"/>
          <w:szCs w:val="32"/>
        </w:rPr>
        <w:t>1：</w:t>
      </w:r>
    </w:p>
    <w:p w14:paraId="60BE3DB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34"/>
          <w:szCs w:val="34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4"/>
          <w:szCs w:val="34"/>
        </w:rPr>
        <w:t>202</w:t>
      </w:r>
      <w:r>
        <w:rPr>
          <w:rFonts w:hint="eastAsia" w:ascii="方正小标宋简体" w:hAnsi="方正小标宋简体" w:eastAsia="方正小标宋简体" w:cs="方正小标宋简体"/>
          <w:kern w:val="0"/>
          <w:sz w:val="34"/>
          <w:szCs w:val="34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kern w:val="0"/>
          <w:sz w:val="34"/>
          <w:szCs w:val="34"/>
        </w:rPr>
        <w:t>年高照街道公开招聘</w:t>
      </w:r>
      <w:r>
        <w:rPr>
          <w:rFonts w:hint="eastAsia" w:ascii="方正小标宋简体" w:hAnsi="方正小标宋简体" w:eastAsia="方正小标宋简体" w:cs="方正小标宋简体"/>
          <w:kern w:val="0"/>
          <w:sz w:val="34"/>
          <w:szCs w:val="34"/>
          <w:lang w:eastAsia="zh-CN"/>
        </w:rPr>
        <w:t>编外</w:t>
      </w:r>
      <w:r>
        <w:rPr>
          <w:rFonts w:hint="eastAsia" w:ascii="方正小标宋简体" w:hAnsi="方正小标宋简体" w:eastAsia="方正小标宋简体" w:cs="方正小标宋简体"/>
          <w:kern w:val="0"/>
          <w:sz w:val="34"/>
          <w:szCs w:val="34"/>
        </w:rPr>
        <w:t>人员岗位</w:t>
      </w:r>
      <w:r>
        <w:rPr>
          <w:rFonts w:hint="eastAsia" w:ascii="方正小标宋简体" w:hAnsi="方正小标宋简体" w:eastAsia="方正小标宋简体" w:cs="方正小标宋简体"/>
          <w:kern w:val="0"/>
          <w:sz w:val="34"/>
          <w:szCs w:val="34"/>
          <w:lang w:eastAsia="zh-CN"/>
        </w:rPr>
        <w:t>计划</w:t>
      </w:r>
      <w:r>
        <w:rPr>
          <w:rFonts w:hint="eastAsia" w:ascii="方正小标宋简体" w:hAnsi="方正小标宋简体" w:eastAsia="方正小标宋简体" w:cs="方正小标宋简体"/>
          <w:kern w:val="0"/>
          <w:sz w:val="34"/>
          <w:szCs w:val="34"/>
        </w:rPr>
        <w:t>表</w:t>
      </w:r>
    </w:p>
    <w:tbl>
      <w:tblPr>
        <w:tblStyle w:val="4"/>
        <w:tblW w:w="153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3"/>
        <w:gridCol w:w="1065"/>
        <w:gridCol w:w="1539"/>
        <w:gridCol w:w="790"/>
        <w:gridCol w:w="755"/>
        <w:gridCol w:w="1678"/>
        <w:gridCol w:w="915"/>
        <w:gridCol w:w="765"/>
        <w:gridCol w:w="2145"/>
        <w:gridCol w:w="1277"/>
        <w:gridCol w:w="3818"/>
      </w:tblGrid>
      <w:tr w14:paraId="356BF0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633" w:type="dxa"/>
            <w:vMerge w:val="restart"/>
            <w:noWrap w:val="0"/>
            <w:vAlign w:val="center"/>
          </w:tcPr>
          <w:p w14:paraId="0255AF0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</w:rPr>
              <w:t>序</w:t>
            </w:r>
          </w:p>
          <w:p w14:paraId="4C21EB4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</w:rPr>
              <w:t>号</w:t>
            </w:r>
          </w:p>
        </w:tc>
        <w:tc>
          <w:tcPr>
            <w:tcW w:w="1065" w:type="dxa"/>
            <w:vMerge w:val="restart"/>
            <w:noWrap w:val="0"/>
            <w:vAlign w:val="center"/>
          </w:tcPr>
          <w:p w14:paraId="35883D5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</w:rPr>
              <w:t>招聘</w:t>
            </w:r>
          </w:p>
          <w:p w14:paraId="3195D59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</w:rPr>
              <w:t>单位</w:t>
            </w:r>
          </w:p>
        </w:tc>
        <w:tc>
          <w:tcPr>
            <w:tcW w:w="1539" w:type="dxa"/>
            <w:vMerge w:val="restart"/>
            <w:noWrap w:val="0"/>
            <w:vAlign w:val="center"/>
          </w:tcPr>
          <w:p w14:paraId="03BCF2E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</w:rPr>
              <w:t>招聘岗位</w:t>
            </w:r>
          </w:p>
        </w:tc>
        <w:tc>
          <w:tcPr>
            <w:tcW w:w="790" w:type="dxa"/>
            <w:vMerge w:val="restart"/>
            <w:noWrap w:val="0"/>
            <w:vAlign w:val="center"/>
          </w:tcPr>
          <w:p w14:paraId="4E6A696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lang w:eastAsia="zh-CN"/>
              </w:rPr>
              <w:t>岗位代码</w:t>
            </w:r>
          </w:p>
        </w:tc>
        <w:tc>
          <w:tcPr>
            <w:tcW w:w="755" w:type="dxa"/>
            <w:vMerge w:val="restart"/>
            <w:noWrap w:val="0"/>
            <w:vAlign w:val="center"/>
          </w:tcPr>
          <w:p w14:paraId="4008577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</w:rPr>
              <w:t>性质</w:t>
            </w:r>
          </w:p>
        </w:tc>
        <w:tc>
          <w:tcPr>
            <w:tcW w:w="1678" w:type="dxa"/>
            <w:vMerge w:val="restart"/>
            <w:noWrap w:val="0"/>
            <w:vAlign w:val="center"/>
          </w:tcPr>
          <w:p w14:paraId="2E36F24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</w:rPr>
              <w:t>年龄要求</w:t>
            </w:r>
          </w:p>
        </w:tc>
        <w:tc>
          <w:tcPr>
            <w:tcW w:w="915" w:type="dxa"/>
            <w:vMerge w:val="restart"/>
            <w:noWrap w:val="0"/>
            <w:vAlign w:val="center"/>
          </w:tcPr>
          <w:p w14:paraId="08581B3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lang w:eastAsia="zh-CN"/>
              </w:rPr>
              <w:t>性别要求</w:t>
            </w:r>
          </w:p>
        </w:tc>
        <w:tc>
          <w:tcPr>
            <w:tcW w:w="765" w:type="dxa"/>
            <w:vMerge w:val="restart"/>
            <w:noWrap w:val="0"/>
            <w:vAlign w:val="center"/>
          </w:tcPr>
          <w:p w14:paraId="2F5459D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</w:rPr>
              <w:t>招聘人数</w:t>
            </w:r>
          </w:p>
        </w:tc>
        <w:tc>
          <w:tcPr>
            <w:tcW w:w="3422" w:type="dxa"/>
            <w:gridSpan w:val="2"/>
            <w:noWrap w:val="0"/>
            <w:vAlign w:val="center"/>
          </w:tcPr>
          <w:p w14:paraId="2E1082C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</w:rPr>
              <w:t>岗位要求</w:t>
            </w:r>
          </w:p>
        </w:tc>
        <w:tc>
          <w:tcPr>
            <w:tcW w:w="3818" w:type="dxa"/>
            <w:vMerge w:val="restart"/>
            <w:noWrap w:val="0"/>
            <w:vAlign w:val="center"/>
          </w:tcPr>
          <w:p w14:paraId="2EE5313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</w:rPr>
              <w:t>其他要求</w:t>
            </w:r>
          </w:p>
        </w:tc>
      </w:tr>
      <w:tr w14:paraId="326388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6" w:hRule="atLeast"/>
          <w:jc w:val="center"/>
        </w:trPr>
        <w:tc>
          <w:tcPr>
            <w:tcW w:w="633" w:type="dxa"/>
            <w:vMerge w:val="continue"/>
            <w:noWrap w:val="0"/>
            <w:vAlign w:val="center"/>
          </w:tcPr>
          <w:p w14:paraId="2E761E1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textAlignment w:val="auto"/>
              <w:rPr>
                <w:rFonts w:ascii="仿宋" w:hAnsi="仿宋" w:eastAsia="仿宋" w:cs="宋体"/>
                <w:color w:val="000000"/>
                <w:sz w:val="24"/>
              </w:rPr>
            </w:pPr>
          </w:p>
        </w:tc>
        <w:tc>
          <w:tcPr>
            <w:tcW w:w="1065" w:type="dxa"/>
            <w:vMerge w:val="continue"/>
            <w:noWrap w:val="0"/>
            <w:vAlign w:val="center"/>
          </w:tcPr>
          <w:p w14:paraId="2C088DD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textAlignment w:val="auto"/>
              <w:rPr>
                <w:rFonts w:ascii="仿宋" w:hAnsi="仿宋" w:eastAsia="仿宋" w:cs="宋体"/>
                <w:color w:val="000000"/>
                <w:sz w:val="24"/>
              </w:rPr>
            </w:pPr>
          </w:p>
        </w:tc>
        <w:tc>
          <w:tcPr>
            <w:tcW w:w="1539" w:type="dxa"/>
            <w:vMerge w:val="continue"/>
            <w:noWrap w:val="0"/>
            <w:vAlign w:val="center"/>
          </w:tcPr>
          <w:p w14:paraId="3435FFD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textAlignment w:val="auto"/>
              <w:rPr>
                <w:rFonts w:ascii="仿宋" w:hAnsi="仿宋" w:eastAsia="仿宋" w:cs="宋体"/>
                <w:color w:val="000000"/>
                <w:sz w:val="24"/>
              </w:rPr>
            </w:pPr>
          </w:p>
        </w:tc>
        <w:tc>
          <w:tcPr>
            <w:tcW w:w="790" w:type="dxa"/>
            <w:vMerge w:val="continue"/>
            <w:noWrap w:val="0"/>
            <w:vAlign w:val="top"/>
          </w:tcPr>
          <w:p w14:paraId="5BD2E82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textAlignment w:val="auto"/>
              <w:rPr>
                <w:rFonts w:ascii="仿宋" w:hAnsi="仿宋" w:eastAsia="仿宋" w:cs="宋体"/>
                <w:color w:val="000000"/>
                <w:sz w:val="24"/>
              </w:rPr>
            </w:pPr>
          </w:p>
        </w:tc>
        <w:tc>
          <w:tcPr>
            <w:tcW w:w="755" w:type="dxa"/>
            <w:vMerge w:val="continue"/>
            <w:noWrap w:val="0"/>
            <w:vAlign w:val="top"/>
          </w:tcPr>
          <w:p w14:paraId="385AC57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textAlignment w:val="auto"/>
              <w:rPr>
                <w:rFonts w:ascii="仿宋" w:hAnsi="仿宋" w:eastAsia="仿宋" w:cs="宋体"/>
                <w:color w:val="000000"/>
                <w:sz w:val="24"/>
              </w:rPr>
            </w:pPr>
          </w:p>
        </w:tc>
        <w:tc>
          <w:tcPr>
            <w:tcW w:w="1678" w:type="dxa"/>
            <w:vMerge w:val="continue"/>
            <w:noWrap w:val="0"/>
            <w:vAlign w:val="top"/>
          </w:tcPr>
          <w:p w14:paraId="4E0C760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textAlignment w:val="auto"/>
              <w:rPr>
                <w:rFonts w:ascii="仿宋" w:hAnsi="仿宋" w:eastAsia="仿宋" w:cs="宋体"/>
                <w:color w:val="000000"/>
                <w:sz w:val="24"/>
              </w:rPr>
            </w:pPr>
          </w:p>
        </w:tc>
        <w:tc>
          <w:tcPr>
            <w:tcW w:w="915" w:type="dxa"/>
            <w:vMerge w:val="continue"/>
            <w:noWrap w:val="0"/>
            <w:vAlign w:val="center"/>
          </w:tcPr>
          <w:p w14:paraId="74FD98F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textAlignment w:val="auto"/>
              <w:rPr>
                <w:rFonts w:ascii="仿宋" w:hAnsi="仿宋" w:eastAsia="仿宋" w:cs="宋体"/>
                <w:color w:val="000000"/>
                <w:sz w:val="24"/>
              </w:rPr>
            </w:pPr>
          </w:p>
        </w:tc>
        <w:tc>
          <w:tcPr>
            <w:tcW w:w="765" w:type="dxa"/>
            <w:vMerge w:val="continue"/>
            <w:noWrap w:val="0"/>
            <w:vAlign w:val="center"/>
          </w:tcPr>
          <w:p w14:paraId="3782AA0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textAlignment w:val="auto"/>
              <w:rPr>
                <w:rFonts w:ascii="仿宋" w:hAnsi="仿宋" w:eastAsia="仿宋" w:cs="宋体"/>
                <w:color w:val="000000"/>
                <w:sz w:val="24"/>
              </w:rPr>
            </w:pPr>
          </w:p>
        </w:tc>
        <w:tc>
          <w:tcPr>
            <w:tcW w:w="2145" w:type="dxa"/>
            <w:noWrap w:val="0"/>
            <w:vAlign w:val="center"/>
          </w:tcPr>
          <w:p w14:paraId="6C0DBF1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</w:rPr>
              <w:t>专业</w:t>
            </w:r>
          </w:p>
        </w:tc>
        <w:tc>
          <w:tcPr>
            <w:tcW w:w="1277" w:type="dxa"/>
            <w:noWrap w:val="0"/>
            <w:vAlign w:val="center"/>
          </w:tcPr>
          <w:p w14:paraId="2453F2E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</w:rPr>
              <w:t>学历</w:t>
            </w:r>
          </w:p>
        </w:tc>
        <w:tc>
          <w:tcPr>
            <w:tcW w:w="3818" w:type="dxa"/>
            <w:vMerge w:val="continue"/>
            <w:noWrap w:val="0"/>
            <w:vAlign w:val="center"/>
          </w:tcPr>
          <w:p w14:paraId="7DE6F0C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textAlignment w:val="auto"/>
              <w:rPr>
                <w:rFonts w:ascii="仿宋" w:hAnsi="仿宋" w:eastAsia="仿宋" w:cs="宋体"/>
                <w:color w:val="000000"/>
                <w:sz w:val="24"/>
              </w:rPr>
            </w:pPr>
          </w:p>
        </w:tc>
      </w:tr>
      <w:tr w14:paraId="6C35AB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9" w:hRule="atLeast"/>
          <w:jc w:val="center"/>
        </w:trPr>
        <w:tc>
          <w:tcPr>
            <w:tcW w:w="633" w:type="dxa"/>
            <w:noWrap w:val="0"/>
            <w:vAlign w:val="center"/>
          </w:tcPr>
          <w:p w14:paraId="0CBBD3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仿宋" w:hAnsi="仿宋" w:eastAsia="仿宋" w:cs="宋体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sz w:val="21"/>
                <w:szCs w:val="21"/>
              </w:rPr>
              <w:t>1</w:t>
            </w:r>
          </w:p>
        </w:tc>
        <w:tc>
          <w:tcPr>
            <w:tcW w:w="1065" w:type="dxa"/>
            <w:vMerge w:val="restart"/>
            <w:noWrap w:val="0"/>
            <w:vAlign w:val="center"/>
          </w:tcPr>
          <w:p w14:paraId="18E7E5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cs="宋体"/>
                <w:color w:val="000000"/>
                <w:spacing w:val="-17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cs="宋体"/>
                <w:color w:val="000000"/>
                <w:spacing w:val="-17"/>
                <w:sz w:val="21"/>
                <w:szCs w:val="21"/>
                <w:lang w:eastAsia="zh-CN"/>
              </w:rPr>
              <w:t>高照街道办事处</w:t>
            </w:r>
          </w:p>
          <w:p w14:paraId="115F01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仿宋" w:hAnsi="仿宋" w:eastAsia="仿宋" w:cs="宋体"/>
                <w:color w:val="000000"/>
                <w:sz w:val="21"/>
                <w:szCs w:val="21"/>
              </w:rPr>
            </w:pPr>
          </w:p>
        </w:tc>
        <w:tc>
          <w:tcPr>
            <w:tcW w:w="1539" w:type="dxa"/>
            <w:noWrap w:val="0"/>
            <w:vAlign w:val="center"/>
          </w:tcPr>
          <w:p w14:paraId="63C4F4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仿宋" w:hAnsi="仿宋" w:eastAsia="仿宋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cs="宋体"/>
                <w:color w:val="000000"/>
                <w:sz w:val="21"/>
                <w:szCs w:val="21"/>
                <w:lang w:eastAsia="zh-CN"/>
              </w:rPr>
              <w:t>编外人员</w:t>
            </w:r>
            <w:r>
              <w:rPr>
                <w:rFonts w:hint="eastAsia" w:ascii="仿宋" w:hAnsi="仿宋" w:cs="宋体"/>
                <w:color w:val="00000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790" w:type="dxa"/>
            <w:noWrap w:val="0"/>
            <w:vAlign w:val="center"/>
          </w:tcPr>
          <w:p w14:paraId="550941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仿宋" w:hAnsi="仿宋" w:eastAsia="仿宋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cs="宋体"/>
                <w:color w:val="000000"/>
                <w:sz w:val="21"/>
                <w:szCs w:val="21"/>
                <w:lang w:val="en-US" w:eastAsia="zh-CN"/>
              </w:rPr>
              <w:t>01</w:t>
            </w:r>
          </w:p>
        </w:tc>
        <w:tc>
          <w:tcPr>
            <w:tcW w:w="755" w:type="dxa"/>
            <w:vMerge w:val="restart"/>
            <w:noWrap w:val="0"/>
            <w:vAlign w:val="center"/>
          </w:tcPr>
          <w:p w14:paraId="392EF9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cs="宋体"/>
                <w:color w:val="000000"/>
                <w:sz w:val="21"/>
                <w:szCs w:val="21"/>
                <w:lang w:eastAsia="zh-CN"/>
              </w:rPr>
              <w:t>街道聘用</w:t>
            </w:r>
          </w:p>
        </w:tc>
        <w:tc>
          <w:tcPr>
            <w:tcW w:w="1678" w:type="dxa"/>
            <w:vMerge w:val="restart"/>
            <w:noWrap w:val="0"/>
            <w:vAlign w:val="center"/>
          </w:tcPr>
          <w:p w14:paraId="605C81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cs="宋体"/>
                <w:color w:val="auto"/>
                <w:sz w:val="21"/>
                <w:szCs w:val="21"/>
                <w:lang w:val="en-US" w:eastAsia="zh-CN"/>
              </w:rPr>
              <w:t>35周岁以下</w:t>
            </w:r>
          </w:p>
          <w:p w14:paraId="6E94E7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宋体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cs="宋体"/>
                <w:color w:val="auto"/>
                <w:sz w:val="21"/>
                <w:szCs w:val="21"/>
                <w:lang w:val="en-US" w:eastAsia="zh-CN"/>
              </w:rPr>
              <w:t>(即1988年11月11日后出生）</w:t>
            </w:r>
          </w:p>
        </w:tc>
        <w:tc>
          <w:tcPr>
            <w:tcW w:w="915" w:type="dxa"/>
            <w:noWrap w:val="0"/>
            <w:vAlign w:val="center"/>
          </w:tcPr>
          <w:p w14:paraId="3CE538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仿宋" w:hAnsi="仿宋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cs="宋体"/>
                <w:color w:val="000000"/>
                <w:sz w:val="21"/>
                <w:szCs w:val="21"/>
                <w:lang w:val="en-US" w:eastAsia="zh-CN"/>
              </w:rPr>
              <w:t>不限</w:t>
            </w:r>
          </w:p>
        </w:tc>
        <w:tc>
          <w:tcPr>
            <w:tcW w:w="765" w:type="dxa"/>
            <w:noWrap w:val="0"/>
            <w:vAlign w:val="center"/>
          </w:tcPr>
          <w:p w14:paraId="0FC858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cs="宋体"/>
                <w:color w:val="00000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2145" w:type="dxa"/>
            <w:noWrap w:val="0"/>
            <w:vAlign w:val="center"/>
          </w:tcPr>
          <w:p w14:paraId="1201F7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仿宋" w:hAnsi="仿宋" w:eastAsia="仿宋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cs="宋体"/>
                <w:color w:val="000000"/>
                <w:sz w:val="21"/>
                <w:szCs w:val="21"/>
                <w:lang w:eastAsia="zh-CN"/>
              </w:rPr>
              <w:t>本科所学专业要求为（四级专业名称）：会计、会计学、审计学、财务管理、财务会计与审计、大数据与会计</w:t>
            </w:r>
          </w:p>
        </w:tc>
        <w:tc>
          <w:tcPr>
            <w:tcW w:w="1277" w:type="dxa"/>
            <w:noWrap w:val="0"/>
            <w:vAlign w:val="center"/>
          </w:tcPr>
          <w:p w14:paraId="33C735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cs="宋体"/>
                <w:color w:val="000000"/>
                <w:sz w:val="21"/>
                <w:szCs w:val="21"/>
                <w:lang w:eastAsia="zh-CN"/>
              </w:rPr>
              <w:t>本科及以上</w:t>
            </w:r>
          </w:p>
        </w:tc>
        <w:tc>
          <w:tcPr>
            <w:tcW w:w="3818" w:type="dxa"/>
            <w:noWrap w:val="0"/>
            <w:vAlign w:val="center"/>
          </w:tcPr>
          <w:p w14:paraId="122551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Verdana" w:hAnsi="Verdana" w:eastAsia="仿宋" w:cs="Verdana"/>
                <w:color w:val="000000"/>
                <w:sz w:val="21"/>
                <w:szCs w:val="21"/>
                <w:shd w:val="clear" w:color="auto" w:fill="FFFFFF"/>
                <w:lang w:eastAsia="zh-CN"/>
              </w:rPr>
            </w:pPr>
          </w:p>
        </w:tc>
      </w:tr>
      <w:tr w14:paraId="1A8494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9" w:hRule="atLeast"/>
          <w:jc w:val="center"/>
        </w:trPr>
        <w:tc>
          <w:tcPr>
            <w:tcW w:w="633" w:type="dxa"/>
            <w:noWrap w:val="0"/>
            <w:vAlign w:val="center"/>
          </w:tcPr>
          <w:p w14:paraId="4B352E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仿宋" w:hAnsi="仿宋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cs="宋体"/>
                <w:color w:val="00000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065" w:type="dxa"/>
            <w:vMerge w:val="continue"/>
            <w:noWrap w:val="0"/>
            <w:vAlign w:val="center"/>
          </w:tcPr>
          <w:p w14:paraId="2C86C6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宋体"/>
                <w:color w:val="000000"/>
                <w:sz w:val="21"/>
                <w:szCs w:val="21"/>
              </w:rPr>
            </w:pPr>
          </w:p>
        </w:tc>
        <w:tc>
          <w:tcPr>
            <w:tcW w:w="1539" w:type="dxa"/>
            <w:shd w:val="clear" w:color="auto" w:fill="auto"/>
            <w:noWrap w:val="0"/>
            <w:vAlign w:val="center"/>
          </w:tcPr>
          <w:p w14:paraId="5EB529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cs="宋体"/>
                <w:color w:val="000000"/>
                <w:sz w:val="21"/>
                <w:szCs w:val="21"/>
                <w:lang w:eastAsia="zh-CN"/>
              </w:rPr>
              <w:t>编外人员</w:t>
            </w:r>
            <w:r>
              <w:rPr>
                <w:rFonts w:hint="eastAsia" w:ascii="仿宋" w:hAnsi="仿宋" w:cs="宋体"/>
                <w:color w:val="00000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790" w:type="dxa"/>
            <w:shd w:val="clear" w:color="auto" w:fill="auto"/>
            <w:noWrap w:val="0"/>
            <w:vAlign w:val="center"/>
          </w:tcPr>
          <w:p w14:paraId="198FE4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cs="宋体"/>
                <w:color w:val="000000"/>
                <w:sz w:val="21"/>
                <w:szCs w:val="21"/>
                <w:lang w:val="en-US" w:eastAsia="zh-CN"/>
              </w:rPr>
              <w:t>02</w:t>
            </w:r>
          </w:p>
        </w:tc>
        <w:tc>
          <w:tcPr>
            <w:tcW w:w="755" w:type="dxa"/>
            <w:vMerge w:val="continue"/>
            <w:noWrap w:val="0"/>
            <w:vAlign w:val="center"/>
          </w:tcPr>
          <w:p w14:paraId="22E6FF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cs="宋体"/>
                <w:color w:val="000000"/>
                <w:sz w:val="21"/>
                <w:szCs w:val="21"/>
                <w:lang w:eastAsia="zh-CN"/>
              </w:rPr>
            </w:pPr>
          </w:p>
        </w:tc>
        <w:tc>
          <w:tcPr>
            <w:tcW w:w="1678" w:type="dxa"/>
            <w:vMerge w:val="continue"/>
            <w:noWrap w:val="0"/>
            <w:vAlign w:val="center"/>
          </w:tcPr>
          <w:p w14:paraId="68A939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 w14:paraId="7976BC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cs="宋体"/>
                <w:color w:val="000000"/>
                <w:sz w:val="21"/>
                <w:szCs w:val="21"/>
                <w:lang w:val="en-US" w:eastAsia="zh-CN"/>
              </w:rPr>
              <w:t>不限</w:t>
            </w:r>
          </w:p>
        </w:tc>
        <w:tc>
          <w:tcPr>
            <w:tcW w:w="765" w:type="dxa"/>
            <w:shd w:val="clear" w:color="auto" w:fill="auto"/>
            <w:noWrap w:val="0"/>
            <w:vAlign w:val="center"/>
          </w:tcPr>
          <w:p w14:paraId="6D9F09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cs="宋体"/>
                <w:color w:val="00000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2145" w:type="dxa"/>
            <w:shd w:val="clear" w:color="auto" w:fill="auto"/>
            <w:noWrap w:val="0"/>
            <w:vAlign w:val="center"/>
          </w:tcPr>
          <w:p w14:paraId="666A17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cs="宋体"/>
                <w:color w:val="auto"/>
                <w:sz w:val="21"/>
                <w:szCs w:val="21"/>
                <w:lang w:eastAsia="zh-CN"/>
              </w:rPr>
              <w:t>本科所学专业要求为（四级专业名称）：工程管理、市政工程、土木工程、建筑学、建筑工程、给水排水、给排水工程、给水排水工程</w:t>
            </w:r>
          </w:p>
        </w:tc>
        <w:tc>
          <w:tcPr>
            <w:tcW w:w="1277" w:type="dxa"/>
            <w:shd w:val="clear" w:color="auto" w:fill="auto"/>
            <w:noWrap w:val="0"/>
            <w:vAlign w:val="center"/>
          </w:tcPr>
          <w:p w14:paraId="16839D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cs="宋体"/>
                <w:color w:val="000000"/>
                <w:sz w:val="21"/>
                <w:szCs w:val="21"/>
                <w:lang w:eastAsia="zh-CN"/>
              </w:rPr>
              <w:t>本科及以上</w:t>
            </w:r>
          </w:p>
        </w:tc>
        <w:tc>
          <w:tcPr>
            <w:tcW w:w="3818" w:type="dxa"/>
            <w:shd w:val="clear" w:color="auto" w:fill="auto"/>
            <w:noWrap w:val="0"/>
            <w:vAlign w:val="center"/>
          </w:tcPr>
          <w:p w14:paraId="7F5BE81C">
            <w:pPr>
              <w:keepNext w:val="0"/>
              <w:keepLines w:val="0"/>
              <w:pageBreakBefore w:val="0"/>
              <w:widowControl w:val="0"/>
              <w:tabs>
                <w:tab w:val="left" w:pos="31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Verdana" w:hAnsi="Verdana" w:eastAsia="仿宋" w:cs="Verdana"/>
                <w:color w:val="000000"/>
                <w:kern w:val="2"/>
                <w:sz w:val="21"/>
                <w:szCs w:val="21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Verdana" w:hAnsi="Verdana" w:cs="Verdana"/>
                <w:color w:val="000000"/>
                <w:sz w:val="21"/>
                <w:szCs w:val="21"/>
                <w:shd w:val="clear" w:color="auto" w:fill="FFFFFF"/>
                <w:lang w:val="en-US" w:eastAsia="zh-CN"/>
              </w:rPr>
              <w:t>具有2年以上工程相关工作经验</w:t>
            </w:r>
          </w:p>
        </w:tc>
      </w:tr>
      <w:tr w14:paraId="257C3C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9" w:hRule="atLeast"/>
          <w:jc w:val="center"/>
        </w:trPr>
        <w:tc>
          <w:tcPr>
            <w:tcW w:w="633" w:type="dxa"/>
            <w:noWrap w:val="0"/>
            <w:vAlign w:val="center"/>
          </w:tcPr>
          <w:p w14:paraId="1BDA2A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仿宋" w:hAnsi="仿宋" w:eastAsia="仿宋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cs="宋体"/>
                <w:color w:val="00000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065" w:type="dxa"/>
            <w:vMerge w:val="continue"/>
            <w:noWrap w:val="0"/>
            <w:vAlign w:val="center"/>
          </w:tcPr>
          <w:p w14:paraId="735361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宋体"/>
                <w:color w:val="000000"/>
                <w:sz w:val="21"/>
                <w:szCs w:val="21"/>
              </w:rPr>
            </w:pPr>
          </w:p>
        </w:tc>
        <w:tc>
          <w:tcPr>
            <w:tcW w:w="1539" w:type="dxa"/>
            <w:noWrap w:val="0"/>
            <w:vAlign w:val="center"/>
          </w:tcPr>
          <w:p w14:paraId="21EA10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cs="宋体"/>
                <w:color w:val="000000"/>
                <w:sz w:val="21"/>
                <w:szCs w:val="21"/>
                <w:lang w:eastAsia="zh-CN"/>
              </w:rPr>
              <w:t>编外人员</w:t>
            </w:r>
            <w:r>
              <w:rPr>
                <w:rFonts w:hint="eastAsia" w:ascii="仿宋" w:hAnsi="仿宋" w:cs="宋体"/>
                <w:color w:val="00000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790" w:type="dxa"/>
            <w:noWrap w:val="0"/>
            <w:vAlign w:val="center"/>
          </w:tcPr>
          <w:p w14:paraId="79F8E1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仿宋" w:hAnsi="仿宋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cs="宋体"/>
                <w:color w:val="000000"/>
                <w:sz w:val="21"/>
                <w:szCs w:val="21"/>
                <w:lang w:val="en-US" w:eastAsia="zh-CN"/>
              </w:rPr>
              <w:t>03</w:t>
            </w:r>
          </w:p>
        </w:tc>
        <w:tc>
          <w:tcPr>
            <w:tcW w:w="755" w:type="dxa"/>
            <w:vMerge w:val="continue"/>
            <w:noWrap w:val="0"/>
            <w:vAlign w:val="center"/>
          </w:tcPr>
          <w:p w14:paraId="2F3DE9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cs="宋体"/>
                <w:color w:val="000000"/>
                <w:sz w:val="21"/>
                <w:szCs w:val="21"/>
                <w:lang w:eastAsia="zh-CN"/>
              </w:rPr>
            </w:pPr>
          </w:p>
        </w:tc>
        <w:tc>
          <w:tcPr>
            <w:tcW w:w="1678" w:type="dxa"/>
            <w:vMerge w:val="continue"/>
            <w:noWrap w:val="0"/>
            <w:vAlign w:val="center"/>
          </w:tcPr>
          <w:p w14:paraId="47D2F2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915" w:type="dxa"/>
            <w:noWrap w:val="0"/>
            <w:vAlign w:val="center"/>
          </w:tcPr>
          <w:p w14:paraId="176F00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cs="宋体"/>
                <w:color w:val="000000"/>
                <w:sz w:val="21"/>
                <w:szCs w:val="21"/>
                <w:lang w:val="en-US" w:eastAsia="zh-CN"/>
              </w:rPr>
              <w:t>不限</w:t>
            </w:r>
          </w:p>
        </w:tc>
        <w:tc>
          <w:tcPr>
            <w:tcW w:w="765" w:type="dxa"/>
            <w:noWrap w:val="0"/>
            <w:vAlign w:val="center"/>
          </w:tcPr>
          <w:p w14:paraId="22DFED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仿宋" w:hAnsi="仿宋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cs="宋体"/>
                <w:color w:val="00000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2145" w:type="dxa"/>
            <w:noWrap w:val="0"/>
            <w:vAlign w:val="center"/>
          </w:tcPr>
          <w:p w14:paraId="750E66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仿宋" w:hAnsi="仿宋" w:eastAsia="仿宋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cs="宋体"/>
                <w:color w:val="000000"/>
                <w:sz w:val="21"/>
                <w:szCs w:val="21"/>
                <w:lang w:val="en-US" w:eastAsia="zh-CN"/>
              </w:rPr>
              <w:t>不限</w:t>
            </w:r>
          </w:p>
        </w:tc>
        <w:tc>
          <w:tcPr>
            <w:tcW w:w="1277" w:type="dxa"/>
            <w:noWrap w:val="0"/>
            <w:vAlign w:val="center"/>
          </w:tcPr>
          <w:p w14:paraId="584B06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cs="宋体"/>
                <w:color w:val="000000"/>
                <w:sz w:val="21"/>
                <w:szCs w:val="21"/>
                <w:lang w:eastAsia="zh-CN"/>
              </w:rPr>
              <w:t>大专及以上</w:t>
            </w:r>
          </w:p>
        </w:tc>
        <w:tc>
          <w:tcPr>
            <w:tcW w:w="3818" w:type="dxa"/>
            <w:noWrap w:val="0"/>
            <w:vAlign w:val="center"/>
          </w:tcPr>
          <w:p w14:paraId="1A3F308A">
            <w:pPr>
              <w:keepNext w:val="0"/>
              <w:keepLines w:val="0"/>
              <w:pageBreakBefore w:val="0"/>
              <w:widowControl w:val="0"/>
              <w:tabs>
                <w:tab w:val="left" w:pos="31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Verdana" w:hAnsi="Verdana" w:eastAsia="仿宋" w:cs="Verdana"/>
                <w:color w:val="auto"/>
                <w:sz w:val="21"/>
                <w:szCs w:val="21"/>
                <w:shd w:val="clear" w:color="auto" w:fill="FFFFFF"/>
                <w:lang w:eastAsia="zh-CN"/>
              </w:rPr>
            </w:pPr>
            <w:r>
              <w:rPr>
                <w:rFonts w:hint="eastAsia" w:ascii="Verdana" w:hAnsi="Verdana" w:cs="Verdana"/>
                <w:color w:val="auto"/>
                <w:sz w:val="21"/>
                <w:szCs w:val="21"/>
                <w:shd w:val="clear" w:color="auto" w:fill="FFFFFF"/>
                <w:lang w:eastAsia="zh-CN"/>
              </w:rPr>
              <w:t>面向普通高校毕业生退役士兵，范围对象：从嘉兴市秀洲区应征入伍的普通高校毕业生退役士兵或2024年</w:t>
            </w:r>
            <w:r>
              <w:rPr>
                <w:rFonts w:hint="eastAsia" w:ascii="Verdana" w:hAnsi="Verdana" w:cs="Verdana"/>
                <w:color w:val="auto"/>
                <w:sz w:val="21"/>
                <w:szCs w:val="21"/>
                <w:shd w:val="clear" w:color="auto" w:fill="FFFFFF"/>
                <w:lang w:val="en-US" w:eastAsia="zh-CN"/>
              </w:rPr>
              <w:t>11</w:t>
            </w:r>
            <w:r>
              <w:rPr>
                <w:rFonts w:hint="eastAsia" w:ascii="Verdana" w:hAnsi="Verdana" w:cs="Verdana"/>
                <w:color w:val="auto"/>
                <w:sz w:val="21"/>
                <w:szCs w:val="21"/>
                <w:shd w:val="clear" w:color="auto" w:fill="FFFFFF"/>
                <w:lang w:eastAsia="zh-CN"/>
              </w:rPr>
              <w:t>月</w:t>
            </w:r>
            <w:r>
              <w:rPr>
                <w:rFonts w:hint="eastAsia" w:ascii="Verdana" w:hAnsi="Verdana" w:cs="Verdana"/>
                <w:color w:val="auto"/>
                <w:sz w:val="21"/>
                <w:szCs w:val="21"/>
                <w:shd w:val="clear" w:color="auto" w:fill="FFFFFF"/>
                <w:lang w:val="en-US" w:eastAsia="zh-CN"/>
              </w:rPr>
              <w:t>11</w:t>
            </w:r>
            <w:r>
              <w:rPr>
                <w:rFonts w:hint="eastAsia" w:ascii="Verdana" w:hAnsi="Verdana" w:cs="Verdana"/>
                <w:color w:val="auto"/>
                <w:sz w:val="21"/>
                <w:szCs w:val="21"/>
                <w:shd w:val="clear" w:color="auto" w:fill="FFFFFF"/>
                <w:lang w:eastAsia="zh-CN"/>
              </w:rPr>
              <w:t>日户口在嘉兴市秀洲区的普通高校毕业生退役士兵（服役期间受处分的，不得报考）。普通高校毕业生退役士兵是指，普通高校大专及以上毕业后参军入伍，现已退役的人员；被普通高校录取或就读期间到部队服役，退役后继续学习并取得大专及以上毕业证书的人员。</w:t>
            </w:r>
          </w:p>
        </w:tc>
      </w:tr>
    </w:tbl>
    <w:p w14:paraId="03ADE894"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diMDA2MGUzMDI5YjQ5Mzc3YmRmOTMyNTEyZWI4NGUifQ=="/>
  </w:docVars>
  <w:rsids>
    <w:rsidRoot w:val="4C2D3B26"/>
    <w:rsid w:val="4C2D3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" w:cs="Times New Roman"/>
      <w:kern w:val="2"/>
      <w:sz w:val="32"/>
      <w:szCs w:val="32"/>
      <w:lang w:val="en-US" w:eastAsia="zh-CN" w:bidi="ar-SA"/>
    </w:rPr>
  </w:style>
  <w:style w:type="paragraph" w:styleId="2">
    <w:name w:val="heading 1"/>
    <w:next w:val="1"/>
    <w:qFormat/>
    <w:uiPriority w:val="0"/>
    <w:pPr>
      <w:widowControl w:val="0"/>
      <w:ind w:left="100"/>
      <w:jc w:val="center"/>
      <w:outlineLvl w:val="0"/>
    </w:pPr>
    <w:rPr>
      <w:rFonts w:ascii="方正小标宋简体" w:hAnsi="方正小标宋简体" w:eastAsia="方正小标宋简体" w:cs="方正小标宋简体"/>
      <w:kern w:val="2"/>
      <w:sz w:val="44"/>
      <w:szCs w:val="4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2024-11-11T05:34:00Z</dcterms:created>
  <dc:creator>Thaumatin</dc:creator>
  <cp:lastModifiedBy>Thaumatin</cp:lastModifiedBy>
  <dcterms:modified xsi:type="dcterms:W3CDTF">2024-11-11T05:35:11Z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AF66B4D7696C46F396B80806FDBF5EC9_11</vt:lpwstr>
  </property>
</Properties>
</file>