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after="68"/>
        <w:ind w:left="284"/>
        <w:jc w:val="both"/>
        <w:rPr>
          <w:rFonts w:hint="eastAsia"/>
          <w:sz w:val="24"/>
          <w:szCs w:val="24"/>
          <w:lang w:eastAsia="zh-CN"/>
        </w:rPr>
      </w:pPr>
      <w:bookmarkStart w:id="0" w:name="_Toc25149"/>
      <w:r>
        <w:rPr>
          <w:rFonts w:hint="eastAsia"/>
          <w:sz w:val="24"/>
          <w:szCs w:val="24"/>
          <w:lang w:eastAsia="zh-CN"/>
        </w:rPr>
        <w:t>附件6</w:t>
      </w:r>
    </w:p>
    <w:p>
      <w:pPr>
        <w:pStyle w:val="3"/>
      </w:pPr>
      <w:r>
        <w:rPr>
          <w:rFonts w:hint="eastAsia"/>
        </w:rPr>
        <w:t>北方工业大学本科教育教学业绩指标体系</w:t>
      </w:r>
      <w:bookmarkEnd w:id="0"/>
    </w:p>
    <w:tbl>
      <w:tblPr>
        <w:tblStyle w:val="43"/>
        <w:tblW w:w="15451" w:type="dxa"/>
        <w:jc w:val="center"/>
        <w:tblLayout w:type="fixed"/>
        <w:tblCellMar>
          <w:top w:w="0" w:type="dxa"/>
          <w:left w:w="0" w:type="dxa"/>
          <w:bottom w:w="0" w:type="dxa"/>
          <w:right w:w="0" w:type="dxa"/>
        </w:tblCellMar>
      </w:tblPr>
      <w:tblGrid>
        <w:gridCol w:w="1848"/>
        <w:gridCol w:w="2410"/>
        <w:gridCol w:w="2410"/>
        <w:gridCol w:w="2693"/>
        <w:gridCol w:w="2542"/>
        <w:gridCol w:w="1843"/>
        <w:gridCol w:w="1705"/>
      </w:tblGrid>
      <w:tr>
        <w:tblPrEx>
          <w:tblCellMar>
            <w:top w:w="0" w:type="dxa"/>
            <w:left w:w="0" w:type="dxa"/>
            <w:bottom w:w="0" w:type="dxa"/>
            <w:right w:w="0" w:type="dxa"/>
          </w:tblCellMar>
        </w:tblPrEx>
        <w:trPr>
          <w:trHeight w:val="420" w:hRule="atLeast"/>
          <w:tblHeader/>
          <w:jc w:val="center"/>
        </w:trPr>
        <w:tc>
          <w:tcPr>
            <w:tcW w:w="1848" w:type="dxa"/>
            <w:tcBorders>
              <w:top w:val="single" w:color="000000" w:sz="4" w:space="0"/>
              <w:left w:val="single" w:color="000000" w:sz="4" w:space="0"/>
              <w:bottom w:val="single" w:color="000000" w:sz="4" w:space="0"/>
              <w:right w:val="single" w:color="000000" w:sz="4" w:space="0"/>
            </w:tcBorders>
            <w:vAlign w:val="center"/>
          </w:tcPr>
          <w:p>
            <w:pPr>
              <w:autoSpaceDE w:val="0"/>
              <w:autoSpaceDN w:val="0"/>
              <w:snapToGrid w:val="0"/>
              <w:jc w:val="center"/>
              <w:rPr>
                <w:rFonts w:ascii="仿宋_GB2312" w:hAnsi="Times New Roman" w:eastAsia="仿宋_GB2312" w:cs="Times New Roman"/>
                <w:b/>
                <w:sz w:val="24"/>
                <w:szCs w:val="24"/>
                <w:lang w:eastAsia="en-US"/>
              </w:rPr>
            </w:pPr>
            <w:r>
              <w:rPr>
                <w:rFonts w:hint="eastAsia" w:ascii="仿宋_GB2312" w:hAnsi="Times New Roman" w:eastAsia="仿宋_GB2312" w:cs="Times New Roman"/>
                <w:b/>
                <w:sz w:val="24"/>
                <w:szCs w:val="24"/>
                <w:lang w:eastAsia="en-US"/>
              </w:rPr>
              <w:t>业绩类别</w:t>
            </w:r>
          </w:p>
          <w:p>
            <w:pPr>
              <w:autoSpaceDE w:val="0"/>
              <w:autoSpaceDN w:val="0"/>
              <w:jc w:val="center"/>
              <w:rPr>
                <w:rFonts w:ascii="仿宋_GB2312" w:hAnsi="Times New Roman" w:eastAsia="仿宋_GB2312" w:cs="Times New Roman"/>
                <w:b/>
                <w:sz w:val="24"/>
                <w:szCs w:val="24"/>
                <w:lang w:eastAsia="en-US"/>
              </w:rPr>
            </w:pPr>
            <w:r>
              <w:rPr>
                <w:rFonts w:hint="eastAsia" w:ascii="仿宋_GB2312" w:hAnsi="Times New Roman" w:eastAsia="仿宋_GB2312" w:cs="Times New Roman"/>
                <w:b/>
                <w:sz w:val="24"/>
                <w:szCs w:val="24"/>
                <w:lang w:eastAsia="en-US"/>
              </w:rPr>
              <w:t>业绩分级</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19"/>
              <w:jc w:val="center"/>
              <w:rPr>
                <w:rFonts w:ascii="仿宋_GB2312" w:hAnsi="Times New Roman" w:eastAsia="仿宋_GB2312" w:cs="Times New Roman"/>
                <w:sz w:val="24"/>
                <w:szCs w:val="24"/>
                <w:lang w:eastAsia="en-US"/>
              </w:rPr>
            </w:pPr>
            <w:r>
              <w:rPr>
                <w:rFonts w:hint="eastAsia" w:ascii="仿宋_GB2312" w:hAnsi="Times New Roman" w:eastAsia="仿宋_GB2312" w:cs="Times New Roman"/>
                <w:b/>
                <w:spacing w:val="-4"/>
                <w:sz w:val="24"/>
                <w:szCs w:val="24"/>
                <w:lang w:eastAsia="en-US"/>
              </w:rPr>
              <w:t>L1</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19"/>
              <w:jc w:val="center"/>
              <w:rPr>
                <w:rFonts w:ascii="仿宋_GB2312" w:hAnsi="Times New Roman" w:eastAsia="仿宋_GB2312" w:cs="Times New Roman"/>
                <w:sz w:val="24"/>
                <w:szCs w:val="24"/>
                <w:lang w:eastAsia="en-US"/>
              </w:rPr>
            </w:pPr>
            <w:r>
              <w:rPr>
                <w:rFonts w:hint="eastAsia" w:ascii="仿宋_GB2312" w:hAnsi="Times New Roman" w:eastAsia="仿宋_GB2312" w:cs="Times New Roman"/>
                <w:b/>
                <w:spacing w:val="-4"/>
                <w:sz w:val="24"/>
                <w:szCs w:val="24"/>
                <w:lang w:eastAsia="en-US"/>
              </w:rPr>
              <w:t>L2</w:t>
            </w:r>
          </w:p>
        </w:tc>
        <w:tc>
          <w:tcPr>
            <w:tcW w:w="26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19"/>
              <w:jc w:val="center"/>
              <w:rPr>
                <w:rFonts w:ascii="仿宋_GB2312" w:hAnsi="Times New Roman" w:eastAsia="仿宋_GB2312" w:cs="Times New Roman"/>
                <w:sz w:val="24"/>
                <w:szCs w:val="24"/>
                <w:lang w:eastAsia="en-US"/>
              </w:rPr>
            </w:pPr>
            <w:r>
              <w:rPr>
                <w:rFonts w:hint="eastAsia" w:ascii="仿宋_GB2312" w:hAnsi="Times New Roman" w:eastAsia="仿宋_GB2312" w:cs="Times New Roman"/>
                <w:b/>
                <w:spacing w:val="-4"/>
                <w:sz w:val="24"/>
                <w:szCs w:val="24"/>
                <w:lang w:eastAsia="en-US"/>
              </w:rPr>
              <w:t>L3</w:t>
            </w:r>
          </w:p>
        </w:tc>
        <w:tc>
          <w:tcPr>
            <w:tcW w:w="2542" w:type="dxa"/>
            <w:tcBorders>
              <w:top w:val="single" w:color="000000" w:sz="4" w:space="0"/>
              <w:left w:val="single" w:color="000000" w:sz="4" w:space="0"/>
              <w:bottom w:val="single" w:color="000000" w:sz="4" w:space="0"/>
              <w:right w:val="single" w:color="auto" w:sz="4" w:space="0"/>
            </w:tcBorders>
            <w:vAlign w:val="center"/>
          </w:tcPr>
          <w:p>
            <w:pPr>
              <w:autoSpaceDE w:val="0"/>
              <w:autoSpaceDN w:val="0"/>
              <w:spacing w:before="119"/>
              <w:jc w:val="center"/>
              <w:rPr>
                <w:rFonts w:ascii="仿宋_GB2312" w:hAnsi="Times New Roman" w:eastAsia="仿宋_GB2312" w:cs="Times New Roman"/>
                <w:b/>
                <w:spacing w:val="-4"/>
                <w:sz w:val="24"/>
                <w:szCs w:val="24"/>
                <w:lang w:eastAsia="en-US"/>
              </w:rPr>
            </w:pPr>
            <w:r>
              <w:rPr>
                <w:rFonts w:hint="eastAsia" w:ascii="仿宋_GB2312" w:hAnsi="Times New Roman" w:eastAsia="仿宋_GB2312" w:cs="Times New Roman"/>
                <w:b/>
                <w:spacing w:val="-4"/>
                <w:sz w:val="24"/>
                <w:szCs w:val="24"/>
                <w:lang w:eastAsia="en-US"/>
              </w:rPr>
              <w:t>L4</w:t>
            </w:r>
          </w:p>
        </w:tc>
        <w:tc>
          <w:tcPr>
            <w:tcW w:w="1843" w:type="dxa"/>
            <w:tcBorders>
              <w:top w:val="single" w:color="auto" w:sz="4" w:space="0"/>
              <w:left w:val="single" w:color="auto" w:sz="4" w:space="0"/>
              <w:bottom w:val="single" w:color="auto" w:sz="4" w:space="0"/>
              <w:right w:val="single" w:color="000000" w:sz="4" w:space="0"/>
            </w:tcBorders>
            <w:vAlign w:val="center"/>
          </w:tcPr>
          <w:p>
            <w:pPr>
              <w:autoSpaceDE w:val="0"/>
              <w:autoSpaceDN w:val="0"/>
              <w:spacing w:before="119"/>
              <w:jc w:val="center"/>
              <w:rPr>
                <w:rFonts w:ascii="仿宋_GB2312" w:hAnsi="Times New Roman" w:eastAsia="仿宋_GB2312" w:cs="Times New Roman"/>
                <w:b/>
                <w:spacing w:val="-4"/>
                <w:sz w:val="24"/>
                <w:szCs w:val="24"/>
                <w:lang w:eastAsia="en-US"/>
              </w:rPr>
            </w:pPr>
            <w:r>
              <w:rPr>
                <w:rFonts w:hint="eastAsia" w:ascii="仿宋_GB2312" w:hAnsi="Times New Roman" w:eastAsia="仿宋_GB2312" w:cs="Times New Roman"/>
                <w:b/>
                <w:spacing w:val="-4"/>
                <w:sz w:val="24"/>
                <w:szCs w:val="24"/>
                <w:lang w:eastAsia="en-US"/>
              </w:rPr>
              <w:t>L5</w:t>
            </w:r>
          </w:p>
        </w:tc>
        <w:tc>
          <w:tcPr>
            <w:tcW w:w="1705" w:type="dxa"/>
            <w:tcBorders>
              <w:top w:val="single" w:color="auto" w:sz="4" w:space="0"/>
              <w:left w:val="single" w:color="000000" w:sz="4" w:space="0"/>
              <w:bottom w:val="single" w:color="auto" w:sz="4" w:space="0"/>
              <w:right w:val="single" w:color="auto" w:sz="4" w:space="0"/>
            </w:tcBorders>
            <w:vAlign w:val="center"/>
          </w:tcPr>
          <w:p>
            <w:pPr>
              <w:autoSpaceDE w:val="0"/>
              <w:autoSpaceDN w:val="0"/>
              <w:spacing w:before="119"/>
              <w:jc w:val="center"/>
              <w:rPr>
                <w:rFonts w:ascii="仿宋_GB2312" w:hAnsi="Times New Roman" w:eastAsia="仿宋_GB2312" w:cs="Times New Roman"/>
                <w:b/>
                <w:spacing w:val="-4"/>
                <w:sz w:val="24"/>
                <w:szCs w:val="24"/>
                <w:lang w:eastAsia="en-US"/>
              </w:rPr>
            </w:pPr>
            <w:r>
              <w:rPr>
                <w:rFonts w:hint="eastAsia" w:ascii="仿宋_GB2312" w:hAnsi="Times New Roman" w:eastAsia="仿宋_GB2312" w:cs="Times New Roman"/>
                <w:b/>
                <w:spacing w:val="-4"/>
                <w:sz w:val="24"/>
                <w:szCs w:val="24"/>
                <w:lang w:eastAsia="en-US"/>
              </w:rPr>
              <w:t>L6</w:t>
            </w:r>
          </w:p>
        </w:tc>
      </w:tr>
      <w:tr>
        <w:tblPrEx>
          <w:tblCellMar>
            <w:top w:w="0" w:type="dxa"/>
            <w:left w:w="0" w:type="dxa"/>
            <w:bottom w:w="0" w:type="dxa"/>
            <w:right w:w="0" w:type="dxa"/>
          </w:tblCellMar>
        </w:tblPrEx>
        <w:trPr>
          <w:jc w:val="center"/>
        </w:trPr>
        <w:tc>
          <w:tcPr>
            <w:tcW w:w="1848"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b/>
                <w:sz w:val="24"/>
                <w:szCs w:val="24"/>
                <w:lang w:eastAsia="en-US"/>
              </w:rPr>
            </w:pPr>
            <w:r>
              <w:rPr>
                <w:rFonts w:hint="eastAsia" w:ascii="仿宋_GB2312" w:hAnsi="Times New Roman" w:eastAsia="仿宋_GB2312" w:cs="Times New Roman"/>
                <w:b/>
                <w:sz w:val="24"/>
                <w:szCs w:val="24"/>
                <w:lang w:eastAsia="en-US"/>
              </w:rPr>
              <w:t>专业建设类</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autoSpaceDE w:val="0"/>
              <w:autoSpaceDN w:val="0"/>
              <w:jc w:val="center"/>
              <w:rPr>
                <w:rFonts w:ascii="仿宋_GB2312" w:hAnsi="Times New Roman" w:eastAsia="仿宋_GB2312" w:cs="Times New Roman"/>
                <w:sz w:val="24"/>
                <w:szCs w:val="24"/>
                <w:lang w:eastAsia="en-US"/>
              </w:rPr>
            </w:pPr>
            <w:r>
              <w:rPr>
                <w:rFonts w:hint="eastAsia" w:ascii="仿宋_GB2312" w:hAnsi="Times New Roman" w:eastAsia="仿宋_GB2312" w:cs="Times New Roman"/>
                <w:sz w:val="24"/>
                <w:szCs w:val="24"/>
                <w:lang w:eastAsia="en-US"/>
              </w:rPr>
              <w:t>-</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国家级一流本科专业建设点、卓越工程师教育培养计划专业、工程教育认证专业、由国家部委或行业协会批准的评估或认证专业，由国际认证机构批准的评估或认证专业负责人。</w:t>
            </w:r>
          </w:p>
        </w:tc>
        <w:tc>
          <w:tcPr>
            <w:tcW w:w="26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北京市级一流本科专业建设点、北京市属高校一流专业、北京市重点建设一流专业负责人。</w:t>
            </w:r>
          </w:p>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国家级一流本科专业建设点、卓越工程师教育培养计划专业、工程教育认证专业、由国家部委或行业协会批准的评估或认证专业，由国际认证机构批准的评估或认证专业排名2--3参与人。</w:t>
            </w:r>
          </w:p>
        </w:tc>
        <w:tc>
          <w:tcPr>
            <w:tcW w:w="2542"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北京市级一流本科专业建设点、北京市属高校一流专业、北京市重点建设一流专业排名2--3参与人。</w:t>
            </w:r>
          </w:p>
        </w:tc>
        <w:tc>
          <w:tcPr>
            <w:tcW w:w="1843" w:type="dxa"/>
            <w:tcBorders>
              <w:top w:val="single" w:color="auto"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sz w:val="24"/>
                <w:szCs w:val="24"/>
                <w:lang w:eastAsia="en-US"/>
              </w:rPr>
            </w:pPr>
            <w:r>
              <w:rPr>
                <w:rFonts w:hint="eastAsia" w:ascii="仿宋_GB2312" w:hAnsi="Times New Roman" w:eastAsia="仿宋_GB2312" w:cs="Times New Roman"/>
                <w:sz w:val="24"/>
                <w:szCs w:val="24"/>
                <w:lang w:eastAsia="en-US"/>
              </w:rPr>
              <w:t>-</w:t>
            </w:r>
          </w:p>
        </w:tc>
        <w:tc>
          <w:tcPr>
            <w:tcW w:w="1705" w:type="dxa"/>
            <w:tcBorders>
              <w:top w:val="single" w:color="auto"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sz w:val="24"/>
                <w:szCs w:val="24"/>
                <w:lang w:eastAsia="en-US"/>
              </w:rPr>
            </w:pPr>
            <w:r>
              <w:rPr>
                <w:rFonts w:hint="eastAsia" w:ascii="仿宋_GB2312" w:hAnsi="Times New Roman" w:eastAsia="仿宋_GB2312" w:cs="Times New Roman"/>
                <w:sz w:val="24"/>
                <w:szCs w:val="24"/>
                <w:lang w:eastAsia="en-US"/>
              </w:rPr>
              <w:t>-</w:t>
            </w:r>
          </w:p>
        </w:tc>
      </w:tr>
      <w:tr>
        <w:tblPrEx>
          <w:tblCellMar>
            <w:top w:w="0" w:type="dxa"/>
            <w:left w:w="0" w:type="dxa"/>
            <w:bottom w:w="0" w:type="dxa"/>
            <w:right w:w="0" w:type="dxa"/>
          </w:tblCellMar>
        </w:tblPrEx>
        <w:trPr>
          <w:jc w:val="center"/>
        </w:trPr>
        <w:tc>
          <w:tcPr>
            <w:tcW w:w="1848"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b/>
                <w:sz w:val="24"/>
                <w:szCs w:val="24"/>
                <w:lang w:eastAsia="en-US"/>
              </w:rPr>
            </w:pPr>
            <w:r>
              <w:rPr>
                <w:rFonts w:hint="eastAsia" w:ascii="仿宋_GB2312" w:hAnsi="Times New Roman" w:eastAsia="仿宋_GB2312" w:cs="Times New Roman"/>
                <w:b/>
                <w:sz w:val="24"/>
                <w:szCs w:val="24"/>
                <w:lang w:eastAsia="en-US"/>
              </w:rPr>
              <w:t>教学团队类</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国家级教学团队负责人。</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国家级教学团队排名2-3成员</w:t>
            </w:r>
          </w:p>
        </w:tc>
        <w:tc>
          <w:tcPr>
            <w:tcW w:w="26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北京高校优秀本科育人团队、北京高校虚拟教研室建设试点、北京市级教学创新团队负责人。</w:t>
            </w:r>
          </w:p>
        </w:tc>
        <w:tc>
          <w:tcPr>
            <w:tcW w:w="2542"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北京高校优秀本科育人团队、北京高校虚拟教研室建设试点、北京市级教学创新团队排名2-3成员。</w:t>
            </w:r>
          </w:p>
        </w:tc>
        <w:tc>
          <w:tcPr>
            <w:tcW w:w="18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校级教学团队负责人。</w:t>
            </w:r>
          </w:p>
        </w:tc>
        <w:tc>
          <w:tcPr>
            <w:tcW w:w="17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校级教学团队排名2-3成员。</w:t>
            </w:r>
          </w:p>
        </w:tc>
      </w:tr>
      <w:tr>
        <w:tblPrEx>
          <w:tblCellMar>
            <w:top w:w="0" w:type="dxa"/>
            <w:left w:w="0" w:type="dxa"/>
            <w:bottom w:w="0" w:type="dxa"/>
            <w:right w:w="0" w:type="dxa"/>
          </w:tblCellMar>
        </w:tblPrEx>
        <w:trPr>
          <w:jc w:val="center"/>
        </w:trPr>
        <w:tc>
          <w:tcPr>
            <w:tcW w:w="1848"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b/>
                <w:sz w:val="24"/>
                <w:szCs w:val="24"/>
                <w:lang w:eastAsia="en-US"/>
              </w:rPr>
            </w:pPr>
            <w:r>
              <w:rPr>
                <w:rFonts w:hint="eastAsia" w:ascii="仿宋_GB2312" w:hAnsi="Times New Roman" w:eastAsia="仿宋_GB2312" w:cs="Times New Roman"/>
                <w:b/>
                <w:sz w:val="24"/>
                <w:szCs w:val="24"/>
                <w:lang w:eastAsia="en-US"/>
              </w:rPr>
              <w:t>示范中心与</w:t>
            </w:r>
          </w:p>
          <w:p>
            <w:pPr>
              <w:autoSpaceDE w:val="0"/>
              <w:autoSpaceDN w:val="0"/>
              <w:jc w:val="center"/>
              <w:rPr>
                <w:rFonts w:ascii="仿宋_GB2312" w:hAnsi="Times New Roman" w:eastAsia="仿宋_GB2312" w:cs="Times New Roman"/>
                <w:b/>
                <w:sz w:val="24"/>
                <w:szCs w:val="24"/>
                <w:lang w:eastAsia="en-US"/>
              </w:rPr>
            </w:pPr>
            <w:r>
              <w:rPr>
                <w:rFonts w:hint="eastAsia" w:ascii="仿宋_GB2312" w:hAnsi="Times New Roman" w:eastAsia="仿宋_GB2312" w:cs="Times New Roman"/>
                <w:b/>
                <w:sz w:val="24"/>
                <w:szCs w:val="24"/>
                <w:lang w:eastAsia="en-US"/>
              </w:rPr>
              <w:t>基地类</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由教育部批准的国家级创新创业教育实践基地、</w:t>
            </w:r>
            <w:r>
              <w:rPr>
                <w:rFonts w:hint="eastAsia" w:ascii="仿宋_GB2312" w:hAnsi="Times New Roman" w:eastAsia="仿宋_GB2312" w:cs="Times New Roman"/>
                <w:bCs/>
                <w:sz w:val="24"/>
                <w:szCs w:val="24"/>
                <w:lang w:eastAsia="zh-CN"/>
              </w:rPr>
              <w:t>国家级工程实践教育中心、</w:t>
            </w:r>
            <w:r>
              <w:rPr>
                <w:rFonts w:hint="eastAsia" w:ascii="仿宋_GB2312" w:hAnsi="Times New Roman" w:eastAsia="仿宋_GB2312" w:cs="Times New Roman"/>
                <w:sz w:val="24"/>
                <w:szCs w:val="24"/>
                <w:lang w:eastAsia="zh-CN"/>
              </w:rPr>
              <w:t>国家级实验教学示范中心、国家级校外人才培养基地、国家级校外实践教育基地、国家级现代产业学院、国家级虚拟仿真中心等各类国家级特色学院或者示范性学院和基地负责人。</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由教育部批准的国家级创新创业教育实践基地、国家级工程实践教育中心、国家级实验教学示范中心、国家级校外人才培养基地、国家级校外实践教育基地、国家级现代产业学院、国家级虚拟仿真中心等各类国家级特色学院或者示范性学和基地排名2--3建设参与人</w:t>
            </w:r>
          </w:p>
        </w:tc>
        <w:tc>
          <w:tcPr>
            <w:tcW w:w="26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北京市实验教学示范中心、北京市校内外实践基地、北京市创新创业类基地和中心、北京市虚拟仿真中心、北京市产学研深度协同育人基地负责人。我校作为牵头高校的教育部行业产教融合共同体、国家级市域产教联合体的牵头高校负责人。</w:t>
            </w:r>
          </w:p>
        </w:tc>
        <w:tc>
          <w:tcPr>
            <w:tcW w:w="2542"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北京市优秀实验室负责人。</w:t>
            </w:r>
          </w:p>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北京市实验教学示范中心、北京市校内外实践基地、北京市创新创业类基地和中心、北京市虚拟仿真中心、北京市产学研深度协同育人基地排名2--3的参与人。我校作为牵头高校的教育部行业产教融合共同体、国家级市域产教联合体的排名2--3的建设参与人。</w:t>
            </w:r>
          </w:p>
        </w:tc>
        <w:tc>
          <w:tcPr>
            <w:tcW w:w="18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p>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北京市优秀实验室排名2--3建设参与人。</w:t>
            </w:r>
          </w:p>
          <w:p>
            <w:pPr>
              <w:autoSpaceDE w:val="0"/>
              <w:autoSpaceDN w:val="0"/>
              <w:jc w:val="left"/>
              <w:rPr>
                <w:rFonts w:ascii="仿宋_GB2312" w:hAnsi="Times New Roman" w:eastAsia="仿宋_GB2312" w:cs="Times New Roman"/>
                <w:sz w:val="24"/>
                <w:szCs w:val="24"/>
                <w:lang w:eastAsia="zh-CN"/>
              </w:rPr>
            </w:pPr>
          </w:p>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校级示范中心与基地、优秀实验室负责人。</w:t>
            </w:r>
          </w:p>
        </w:tc>
        <w:tc>
          <w:tcPr>
            <w:tcW w:w="17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校级示范中心与基地、优秀实验室排名2--3的建设参与人</w:t>
            </w:r>
          </w:p>
        </w:tc>
      </w:tr>
      <w:tr>
        <w:tblPrEx>
          <w:tblCellMar>
            <w:top w:w="0" w:type="dxa"/>
            <w:left w:w="0" w:type="dxa"/>
            <w:bottom w:w="0" w:type="dxa"/>
            <w:right w:w="0" w:type="dxa"/>
          </w:tblCellMar>
        </w:tblPrEx>
        <w:trPr>
          <w:jc w:val="center"/>
        </w:trPr>
        <w:tc>
          <w:tcPr>
            <w:tcW w:w="1848"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b/>
                <w:sz w:val="24"/>
                <w:szCs w:val="24"/>
                <w:lang w:eastAsia="en-US"/>
              </w:rPr>
            </w:pPr>
            <w:r>
              <w:rPr>
                <w:rFonts w:hint="eastAsia" w:ascii="仿宋_GB2312" w:hAnsi="Times New Roman" w:eastAsia="仿宋_GB2312" w:cs="Times New Roman"/>
                <w:b/>
                <w:sz w:val="24"/>
                <w:szCs w:val="24"/>
                <w:lang w:eastAsia="en-US"/>
              </w:rPr>
              <w:t>课程建设类</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autoSpaceDE w:val="0"/>
              <w:autoSpaceDN w:val="0"/>
              <w:jc w:val="center"/>
              <w:rPr>
                <w:rFonts w:ascii="仿宋_GB2312" w:hAnsi="Times New Roman" w:eastAsia="仿宋_GB2312" w:cs="Times New Roman"/>
                <w:sz w:val="24"/>
                <w:szCs w:val="24"/>
                <w:lang w:eastAsia="en-US"/>
              </w:rPr>
            </w:pPr>
            <w:r>
              <w:rPr>
                <w:rFonts w:hint="eastAsia" w:ascii="仿宋_GB2312" w:hAnsi="Times New Roman" w:eastAsia="仿宋_GB2312" w:cs="Times New Roman"/>
                <w:sz w:val="24"/>
                <w:szCs w:val="24"/>
                <w:lang w:eastAsia="en-US"/>
              </w:rPr>
              <w:t>-</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国家级一流本科课程、课程思政示范课程、精品在线开放课程、精品资源共享课、精品视频公开课、虚拟仿真课程/项目负责人。</w:t>
            </w:r>
          </w:p>
        </w:tc>
        <w:tc>
          <w:tcPr>
            <w:tcW w:w="26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北京市级优质本科课程、北京高校优质本科教案、北京市高校课程思政示范项目、北京市级虚拟仿真实验教学项目负责人。</w:t>
            </w:r>
          </w:p>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国家级一流本科课程、课程思政示范课程、精品在线开放课程、精品资源共享课、精品视频公开课、虚拟仿真课程/项目排名2--3参与人。</w:t>
            </w:r>
          </w:p>
        </w:tc>
        <w:tc>
          <w:tcPr>
            <w:tcW w:w="2542"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北京市级优质本科课程、北京高校优质本科教案、北京市高校课程思政示范项目、北京市级虚拟仿真实验教学项目排名2--3参与人。</w:t>
            </w:r>
          </w:p>
        </w:tc>
        <w:tc>
          <w:tcPr>
            <w:tcW w:w="18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校级一流本科课程、优秀课堂教学质量奖、课程思政示范项目、优质本科教案、优秀产教融合工程案例负责人。</w:t>
            </w:r>
          </w:p>
        </w:tc>
        <w:tc>
          <w:tcPr>
            <w:tcW w:w="17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校级一流本科课程、优秀课堂教学质量奖、课程思政示范项目、优质本科教案、优秀产教融合工程案例排名2--3参与人。</w:t>
            </w:r>
          </w:p>
        </w:tc>
      </w:tr>
      <w:tr>
        <w:tblPrEx>
          <w:tblCellMar>
            <w:top w:w="0" w:type="dxa"/>
            <w:left w:w="0" w:type="dxa"/>
            <w:bottom w:w="0" w:type="dxa"/>
            <w:right w:w="0" w:type="dxa"/>
          </w:tblCellMar>
        </w:tblPrEx>
        <w:trPr>
          <w:jc w:val="center"/>
        </w:trPr>
        <w:tc>
          <w:tcPr>
            <w:tcW w:w="1848"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b/>
                <w:sz w:val="24"/>
                <w:szCs w:val="24"/>
                <w:lang w:eastAsia="en-US"/>
              </w:rPr>
            </w:pPr>
            <w:r>
              <w:rPr>
                <w:rFonts w:hint="eastAsia" w:ascii="仿宋_GB2312" w:hAnsi="Times New Roman" w:eastAsia="仿宋_GB2312" w:cs="Times New Roman"/>
                <w:b/>
                <w:sz w:val="24"/>
                <w:szCs w:val="24"/>
                <w:lang w:eastAsia="en-US"/>
              </w:rPr>
              <w:t>教材建设类</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autoSpaceDE w:val="0"/>
              <w:autoSpaceDN w:val="0"/>
              <w:jc w:val="center"/>
              <w:rPr>
                <w:rFonts w:ascii="仿宋_GB2312" w:hAnsi="Times New Roman" w:eastAsia="仿宋_GB2312" w:cs="Times New Roman"/>
                <w:sz w:val="24"/>
                <w:szCs w:val="24"/>
                <w:lang w:eastAsia="en-US"/>
              </w:rPr>
            </w:pPr>
            <w:r>
              <w:rPr>
                <w:rFonts w:hint="eastAsia" w:ascii="仿宋_GB2312" w:hAnsi="Times New Roman" w:eastAsia="仿宋_GB2312" w:cs="Times New Roman"/>
                <w:sz w:val="24"/>
                <w:szCs w:val="24"/>
                <w:lang w:eastAsia="en-US"/>
              </w:rPr>
              <w:t>-</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由教育部批准的普通高等教育国家级规划教材第一主编。</w:t>
            </w:r>
          </w:p>
        </w:tc>
        <w:tc>
          <w:tcPr>
            <w:tcW w:w="26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北京市级优质本科教材课件负责人。</w:t>
            </w:r>
          </w:p>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由教育部批准的普通高等教育国家级规划教材第2--3参与人（教材上没有明确排序的由第一主编确定）。</w:t>
            </w:r>
          </w:p>
        </w:tc>
        <w:tc>
          <w:tcPr>
            <w:tcW w:w="2542"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北京市级优质本科教材课件第2--3参与人（没有明确排序的由负责人确定）</w:t>
            </w:r>
          </w:p>
        </w:tc>
        <w:tc>
          <w:tcPr>
            <w:tcW w:w="18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由北方工业大学批准立项的教材第一主编，校级优质课件负责人。</w:t>
            </w:r>
          </w:p>
        </w:tc>
        <w:tc>
          <w:tcPr>
            <w:tcW w:w="17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由北方工业大学批准立项的教材第2--3参与人（教材上没有明确排序的由第一主编确定）</w:t>
            </w:r>
          </w:p>
        </w:tc>
      </w:tr>
      <w:tr>
        <w:tblPrEx>
          <w:tblCellMar>
            <w:top w:w="0" w:type="dxa"/>
            <w:left w:w="0" w:type="dxa"/>
            <w:bottom w:w="0" w:type="dxa"/>
            <w:right w:w="0" w:type="dxa"/>
          </w:tblCellMar>
        </w:tblPrEx>
        <w:trPr>
          <w:jc w:val="center"/>
        </w:trPr>
        <w:tc>
          <w:tcPr>
            <w:tcW w:w="1848"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b/>
                <w:sz w:val="24"/>
                <w:szCs w:val="24"/>
                <w:lang w:eastAsia="en-US"/>
              </w:rPr>
            </w:pPr>
            <w:r>
              <w:rPr>
                <w:rFonts w:hint="eastAsia" w:ascii="仿宋_GB2312" w:hAnsi="Times New Roman" w:eastAsia="仿宋_GB2312" w:cs="Times New Roman"/>
                <w:b/>
                <w:sz w:val="24"/>
                <w:szCs w:val="24"/>
                <w:lang w:eastAsia="en-US"/>
              </w:rPr>
              <w:t>教改项目类</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主持由教育部、</w:t>
            </w:r>
            <w:r>
              <w:rPr>
                <w:rFonts w:hint="eastAsia" w:ascii="仿宋_GB2312" w:hAnsi="Times New Roman" w:eastAsia="仿宋_GB2312" w:cs="Times New Roman"/>
                <w:sz w:val="24"/>
                <w:szCs w:val="24"/>
                <w:shd w:val="clear" w:color="auto" w:fill="FFFFFF"/>
                <w:lang w:eastAsia="zh-CN"/>
              </w:rPr>
              <w:t>全国教育科学规划领导小组办公室批准的</w:t>
            </w:r>
            <w:r>
              <w:rPr>
                <w:rFonts w:hint="eastAsia" w:ascii="仿宋_GB2312" w:hAnsi="Times New Roman" w:eastAsia="仿宋_GB2312" w:cs="Times New Roman"/>
                <w:sz w:val="24"/>
                <w:szCs w:val="24"/>
                <w:lang w:eastAsia="zh-CN"/>
              </w:rPr>
              <w:t>国家级重大或重点项目或课题。</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主持由教育部、</w:t>
            </w:r>
            <w:r>
              <w:rPr>
                <w:rFonts w:hint="eastAsia" w:ascii="仿宋_GB2312" w:hAnsi="Times New Roman" w:eastAsia="仿宋_GB2312" w:cs="Times New Roman"/>
                <w:sz w:val="24"/>
                <w:szCs w:val="24"/>
                <w:shd w:val="clear" w:color="auto" w:fill="FFFFFF"/>
                <w:lang w:eastAsia="zh-CN"/>
              </w:rPr>
              <w:t>全国教育科学规划领导小组办公室批准的</w:t>
            </w:r>
            <w:r>
              <w:rPr>
                <w:rFonts w:hint="eastAsia" w:ascii="仿宋_GB2312" w:hAnsi="Times New Roman" w:eastAsia="仿宋_GB2312" w:cs="Times New Roman"/>
                <w:sz w:val="24"/>
                <w:szCs w:val="24"/>
                <w:lang w:eastAsia="zh-CN"/>
              </w:rPr>
              <w:t>国家级项目或课题；参与国家级重大或重点项目（排名前3）。</w:t>
            </w:r>
          </w:p>
        </w:tc>
        <w:tc>
          <w:tcPr>
            <w:tcW w:w="26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主持省部级A类项目（重大或重点项目或课题）。</w:t>
            </w:r>
          </w:p>
        </w:tc>
        <w:tc>
          <w:tcPr>
            <w:tcW w:w="2542"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主持省部级A类项目（不含重大、重点类项目）。</w:t>
            </w:r>
          </w:p>
        </w:tc>
        <w:tc>
          <w:tcPr>
            <w:tcW w:w="18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主持省部级B类项目，参与国家级项目（排名前3），参与省部级重大或重点项目（排名前3），参与国家级重大或重点项目（排名前5）。</w:t>
            </w:r>
          </w:p>
        </w:tc>
        <w:tc>
          <w:tcPr>
            <w:tcW w:w="17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en-US"/>
              </w:rPr>
            </w:pPr>
            <w:r>
              <w:rPr>
                <w:rFonts w:hint="eastAsia" w:ascii="仿宋_GB2312" w:hAnsi="Times New Roman" w:eastAsia="仿宋_GB2312" w:cs="Times New Roman"/>
                <w:sz w:val="24"/>
                <w:szCs w:val="24"/>
                <w:lang w:eastAsia="en-US"/>
              </w:rPr>
              <w:t>主持校级教改项目。</w:t>
            </w:r>
          </w:p>
        </w:tc>
      </w:tr>
      <w:tr>
        <w:tblPrEx>
          <w:tblCellMar>
            <w:top w:w="0" w:type="dxa"/>
            <w:left w:w="0" w:type="dxa"/>
            <w:bottom w:w="0" w:type="dxa"/>
            <w:right w:w="0" w:type="dxa"/>
          </w:tblCellMar>
        </w:tblPrEx>
        <w:trPr>
          <w:jc w:val="center"/>
        </w:trPr>
        <w:tc>
          <w:tcPr>
            <w:tcW w:w="1848"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b/>
                <w:sz w:val="24"/>
                <w:szCs w:val="24"/>
                <w:lang w:eastAsia="en-US"/>
              </w:rPr>
            </w:pPr>
            <w:r>
              <w:rPr>
                <w:rFonts w:hint="eastAsia" w:ascii="仿宋_GB2312" w:hAnsi="Times New Roman" w:eastAsia="仿宋_GB2312" w:cs="Times New Roman"/>
                <w:b/>
                <w:sz w:val="24"/>
                <w:szCs w:val="24"/>
                <w:lang w:eastAsia="en-US"/>
              </w:rPr>
              <w:t>教学成果奖</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获得国家级教育教学成果奖（排名前5）。</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获得国家级教育教学成果奖（不限排名）、省部级教学成果奖（最高等级排名前5，次高等级奖排名前3，第三等级排名第1）。</w:t>
            </w:r>
          </w:p>
        </w:tc>
        <w:tc>
          <w:tcPr>
            <w:tcW w:w="26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省部级教学成果奖（最高等级排名6-10.次高等级排名4-6、第三等级排名2-4），各一级学会、行业协会评选的教学成果奖（排名前3）。</w:t>
            </w:r>
          </w:p>
        </w:tc>
        <w:tc>
          <w:tcPr>
            <w:tcW w:w="2542"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省部级教学成果奖第三等级及以上（不限排名），各一级学会、行业协会评选的教学成果奖（排名4-6）。</w:t>
            </w:r>
          </w:p>
        </w:tc>
        <w:tc>
          <w:tcPr>
            <w:tcW w:w="18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校级教学成果奖次高等级及以上（不限排名），校级第三等级及以上（排名前3）。</w:t>
            </w:r>
          </w:p>
        </w:tc>
        <w:tc>
          <w:tcPr>
            <w:tcW w:w="17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校级教学成果第三等级（排名4-6）。</w:t>
            </w:r>
          </w:p>
        </w:tc>
      </w:tr>
      <w:tr>
        <w:tblPrEx>
          <w:tblCellMar>
            <w:top w:w="0" w:type="dxa"/>
            <w:left w:w="0" w:type="dxa"/>
            <w:bottom w:w="0" w:type="dxa"/>
            <w:right w:w="0" w:type="dxa"/>
          </w:tblCellMar>
        </w:tblPrEx>
        <w:trPr>
          <w:jc w:val="center"/>
        </w:trPr>
        <w:tc>
          <w:tcPr>
            <w:tcW w:w="1848"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b/>
                <w:sz w:val="24"/>
                <w:szCs w:val="24"/>
                <w:lang w:eastAsia="en-US"/>
              </w:rPr>
            </w:pPr>
            <w:r>
              <w:rPr>
                <w:rFonts w:hint="eastAsia" w:ascii="仿宋_GB2312" w:hAnsi="Times New Roman" w:eastAsia="仿宋_GB2312" w:cs="Times New Roman"/>
                <w:b/>
                <w:sz w:val="24"/>
                <w:szCs w:val="24"/>
                <w:lang w:eastAsia="en-US"/>
              </w:rPr>
              <w:t>教材建设奖</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获得国家级教材建设奖（排名前5）。</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获得国家级教材建设奖（不限排名）、省部级教材建设奖（最高等级排名前5，次高等级奖排名前3，第三等级排名第1）。</w:t>
            </w:r>
          </w:p>
        </w:tc>
        <w:tc>
          <w:tcPr>
            <w:tcW w:w="26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省部级教材建设奖（最高等级排名6-10.次高等级排名4-6、第三等级排名2-4）</w:t>
            </w:r>
          </w:p>
        </w:tc>
        <w:tc>
          <w:tcPr>
            <w:tcW w:w="2542"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省部级教材建设奖第三等级及以上（不限排名）</w:t>
            </w:r>
          </w:p>
        </w:tc>
        <w:tc>
          <w:tcPr>
            <w:tcW w:w="18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学校的高等教育优秀教材奖（排名前3）。</w:t>
            </w:r>
          </w:p>
        </w:tc>
        <w:tc>
          <w:tcPr>
            <w:tcW w:w="17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31" w:lineRule="auto"/>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校级教材课件建设奖二等奖（排名4-6）。</w:t>
            </w:r>
          </w:p>
        </w:tc>
      </w:tr>
      <w:tr>
        <w:tblPrEx>
          <w:tblCellMar>
            <w:top w:w="0" w:type="dxa"/>
            <w:left w:w="0" w:type="dxa"/>
            <w:bottom w:w="0" w:type="dxa"/>
            <w:right w:w="0" w:type="dxa"/>
          </w:tblCellMar>
        </w:tblPrEx>
        <w:trPr>
          <w:trHeight w:val="2247" w:hRule="atLeast"/>
          <w:jc w:val="center"/>
        </w:trPr>
        <w:tc>
          <w:tcPr>
            <w:tcW w:w="1848"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b/>
                <w:sz w:val="24"/>
                <w:szCs w:val="24"/>
                <w:lang w:eastAsia="en-US"/>
              </w:rPr>
            </w:pPr>
            <w:r>
              <w:rPr>
                <w:rFonts w:hint="eastAsia" w:ascii="仿宋_GB2312" w:hAnsi="Times New Roman" w:eastAsia="仿宋_GB2312" w:cs="Times New Roman"/>
                <w:b/>
                <w:sz w:val="24"/>
                <w:szCs w:val="24"/>
                <w:lang w:eastAsia="en-US"/>
              </w:rPr>
              <w:t>教学名师奖</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黄大年教学团队负责人，国家级教学名师，国家高层次人才特殊支持计划教学名师；由霍英东教育基金会批准的高等院校教育教学奖。</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北京市教学名师/青年名师。</w:t>
            </w: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autoSpaceDE w:val="0"/>
              <w:autoSpaceDN w:val="0"/>
              <w:jc w:val="center"/>
              <w:rPr>
                <w:rFonts w:ascii="仿宋_GB2312" w:hAnsi="Times New Roman" w:eastAsia="仿宋_GB2312" w:cs="Times New Roman"/>
                <w:color w:val="000000" w:themeColor="text1"/>
                <w:sz w:val="24"/>
                <w:szCs w:val="24"/>
                <w:highlight w:val="none"/>
                <w:lang w:eastAsia="en-US"/>
              </w:rPr>
            </w:pPr>
            <w:r>
              <w:rPr>
                <w:rFonts w:hint="eastAsia" w:ascii="仿宋_GB2312" w:hAnsi="Times New Roman" w:eastAsia="仿宋_GB2312" w:cs="Times New Roman"/>
                <w:color w:val="000000" w:themeColor="text1"/>
                <w:sz w:val="24"/>
                <w:szCs w:val="24"/>
                <w:highlight w:val="none"/>
                <w:lang w:eastAsia="en-US"/>
              </w:rPr>
              <w:t>-</w:t>
            </w:r>
          </w:p>
        </w:tc>
        <w:tc>
          <w:tcPr>
            <w:tcW w:w="2542"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校级教学名师、青年教学骨干教师、青年教学名师。</w:t>
            </w:r>
          </w:p>
        </w:tc>
        <w:tc>
          <w:tcPr>
            <w:tcW w:w="18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color w:val="000000" w:themeColor="text1"/>
                <w:sz w:val="24"/>
                <w:szCs w:val="24"/>
                <w:highlight w:val="none"/>
                <w:lang w:eastAsia="en-US"/>
              </w:rPr>
            </w:pPr>
            <w:r>
              <w:rPr>
                <w:rFonts w:hint="eastAsia" w:ascii="仿宋_GB2312" w:hAnsi="Times New Roman" w:eastAsia="仿宋_GB2312" w:cs="Times New Roman"/>
                <w:color w:val="000000" w:themeColor="text1"/>
                <w:sz w:val="24"/>
                <w:szCs w:val="24"/>
                <w:highlight w:val="none"/>
                <w:lang w:eastAsia="en-US"/>
              </w:rPr>
              <w:t>-</w:t>
            </w:r>
          </w:p>
        </w:tc>
        <w:tc>
          <w:tcPr>
            <w:tcW w:w="17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color w:val="000000" w:themeColor="text1"/>
                <w:sz w:val="24"/>
                <w:szCs w:val="24"/>
                <w:highlight w:val="none"/>
                <w:lang w:eastAsia="en-US"/>
              </w:rPr>
            </w:pPr>
            <w:r>
              <w:rPr>
                <w:rFonts w:hint="eastAsia" w:ascii="仿宋_GB2312" w:hAnsi="Times New Roman" w:eastAsia="仿宋_GB2312" w:cs="Times New Roman"/>
                <w:color w:val="000000" w:themeColor="text1"/>
                <w:sz w:val="24"/>
                <w:szCs w:val="24"/>
                <w:highlight w:val="none"/>
                <w:lang w:eastAsia="en-US"/>
              </w:rPr>
              <w:t>-</w:t>
            </w:r>
          </w:p>
        </w:tc>
      </w:tr>
      <w:tr>
        <w:tblPrEx>
          <w:tblCellMar>
            <w:top w:w="0" w:type="dxa"/>
            <w:left w:w="0" w:type="dxa"/>
            <w:bottom w:w="0" w:type="dxa"/>
            <w:right w:w="0" w:type="dxa"/>
          </w:tblCellMar>
        </w:tblPrEx>
        <w:trPr>
          <w:jc w:val="center"/>
        </w:trPr>
        <w:tc>
          <w:tcPr>
            <w:tcW w:w="1848"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b/>
                <w:sz w:val="24"/>
                <w:szCs w:val="24"/>
                <w:lang w:eastAsia="en-US"/>
              </w:rPr>
            </w:pPr>
            <w:r>
              <w:rPr>
                <w:rFonts w:hint="eastAsia" w:ascii="仿宋_GB2312" w:hAnsi="Times New Roman" w:eastAsia="仿宋_GB2312" w:cs="Times New Roman"/>
                <w:b/>
                <w:sz w:val="24"/>
                <w:szCs w:val="24"/>
                <w:lang w:eastAsia="en-US"/>
              </w:rPr>
              <w:t>教师个人教学获奖</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autoSpaceDE w:val="0"/>
              <w:autoSpaceDN w:val="0"/>
              <w:jc w:val="center"/>
              <w:rPr>
                <w:rFonts w:ascii="仿宋_GB2312" w:hAnsi="Times New Roman" w:eastAsia="仿宋_GB2312" w:cs="Times New Roman"/>
                <w:sz w:val="24"/>
                <w:szCs w:val="24"/>
                <w:lang w:eastAsia="en-US"/>
              </w:rPr>
            </w:pPr>
            <w:r>
              <w:rPr>
                <w:rFonts w:hint="eastAsia" w:ascii="仿宋_GB2312" w:hAnsi="Times New Roman" w:eastAsia="仿宋_GB2312" w:cs="Times New Roman"/>
                <w:sz w:val="24"/>
                <w:szCs w:val="24"/>
                <w:lang w:eastAsia="en-US"/>
              </w:rPr>
              <w:t>-</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由中国高等教育学会主办的全国高校教师教学创新大赛，由中国教科文卫体工会全国委员会主办的全国高校青年教师教学竞赛，由教育部主办的全国高校思政课教学展示活动等各类教学竞赛最高等级奖获得者。</w:t>
            </w:r>
          </w:p>
        </w:tc>
        <w:tc>
          <w:tcPr>
            <w:tcW w:w="26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由中国高等教育学会主办的全国高校教师教学创新大赛；由中国教科文卫体工会全国委员会主办的全国高校青年教师教学竞赛，由教育部主办的</w:t>
            </w:r>
            <w:r>
              <w:rPr>
                <w:rFonts w:hint="eastAsia" w:ascii="仿宋_GB2312" w:hAnsi="宋体" w:eastAsia="仿宋_GB2312" w:cs="宋体"/>
                <w:color w:val="000000" w:themeColor="text1"/>
                <w:sz w:val="24"/>
                <w:highlight w:val="none"/>
                <w:lang w:eastAsia="zh-CN"/>
              </w:rPr>
              <w:t>全国高校思政课教学展示活动等</w:t>
            </w:r>
            <w:r>
              <w:rPr>
                <w:rFonts w:hint="eastAsia" w:ascii="仿宋_GB2312" w:hAnsi="Times New Roman" w:eastAsia="仿宋_GB2312" w:cs="Times New Roman"/>
                <w:color w:val="000000" w:themeColor="text1"/>
                <w:sz w:val="24"/>
                <w:szCs w:val="24"/>
                <w:highlight w:val="none"/>
                <w:lang w:eastAsia="zh-CN"/>
              </w:rPr>
              <w:t>各类教学竞赛最高等级奖（团队）排名2—3参与人、次高、第三等级奖获得者。</w:t>
            </w:r>
          </w:p>
        </w:tc>
        <w:tc>
          <w:tcPr>
            <w:tcW w:w="2542"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北京高校教师教学创新大赛、北京高校青年教师教学基本功比赛、</w:t>
            </w:r>
            <w:r>
              <w:rPr>
                <w:rFonts w:hint="eastAsia" w:ascii="仿宋_GB2312" w:hAnsi="Times New Roman" w:eastAsia="仿宋_GB2312" w:cs="Times New Roman"/>
                <w:color w:val="000000" w:themeColor="text1"/>
                <w:sz w:val="24"/>
                <w:szCs w:val="24"/>
                <w:highlight w:val="none"/>
                <w:shd w:val="clear" w:color="auto" w:fill="FFFFFF"/>
                <w:lang w:eastAsia="zh-CN"/>
              </w:rPr>
              <w:t>北京市“最美课堂”评选、</w:t>
            </w:r>
            <w:r>
              <w:rPr>
                <w:rFonts w:hint="eastAsia" w:ascii="仿宋_GB2312" w:hAnsi="宋体" w:eastAsia="仿宋_GB2312" w:cs="宋体"/>
                <w:color w:val="000000" w:themeColor="text1"/>
                <w:sz w:val="24"/>
                <w:highlight w:val="none"/>
                <w:lang w:eastAsia="zh-CN"/>
              </w:rPr>
              <w:t>北京高校思政课教学基本功比赛</w:t>
            </w:r>
            <w:r>
              <w:rPr>
                <w:rFonts w:hint="eastAsia" w:ascii="仿宋_GB2312" w:hAnsi="Times New Roman" w:eastAsia="仿宋_GB2312" w:cs="Times New Roman"/>
                <w:color w:val="000000" w:themeColor="text1"/>
                <w:sz w:val="24"/>
                <w:szCs w:val="24"/>
                <w:highlight w:val="none"/>
                <w:shd w:val="clear" w:color="auto" w:fill="FFFFFF"/>
                <w:lang w:eastAsia="zh-CN"/>
              </w:rPr>
              <w:t>次高等级及以上奖获得者，北京高校</w:t>
            </w:r>
            <w:r>
              <w:rPr>
                <w:rFonts w:hint="eastAsia" w:ascii="仿宋_GB2312" w:hAnsi="Times New Roman" w:eastAsia="仿宋_GB2312" w:cs="Times New Roman"/>
                <w:color w:val="000000" w:themeColor="text1"/>
                <w:sz w:val="24"/>
                <w:szCs w:val="24"/>
                <w:highlight w:val="none"/>
                <w:lang w:eastAsia="zh-CN"/>
              </w:rPr>
              <w:t>优秀本科教学管理人员</w:t>
            </w:r>
            <w:r>
              <w:rPr>
                <w:rFonts w:hint="eastAsia" w:ascii="仿宋_GB2312" w:hAnsi="Times New Roman" w:eastAsia="仿宋_GB2312" w:cs="Times New Roman"/>
                <w:color w:val="000000" w:themeColor="text1"/>
                <w:sz w:val="24"/>
                <w:szCs w:val="24"/>
                <w:highlight w:val="none"/>
                <w:shd w:val="clear" w:color="auto" w:fill="FFFFFF"/>
                <w:lang w:eastAsia="zh-CN"/>
              </w:rPr>
              <w:t>、</w:t>
            </w:r>
            <w:r>
              <w:rPr>
                <w:rFonts w:hint="eastAsia" w:ascii="仿宋_GB2312" w:hAnsi="Times New Roman" w:eastAsia="仿宋_GB2312" w:cs="Times New Roman"/>
                <w:color w:val="000000" w:themeColor="text1"/>
                <w:sz w:val="24"/>
                <w:szCs w:val="24"/>
                <w:highlight w:val="none"/>
                <w:lang w:eastAsia="zh-CN"/>
              </w:rPr>
              <w:t>教学服务保障人员。</w:t>
            </w: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由中国高等教育学会主办的全国高校教师教学创新大赛；由中国教科文卫体工会全国委员会主办的全国高校青年教师教学竞赛，由教育部主办的各类教学竞赛等次高（团队）、第三等级奖（团队）排名2—3参与人。</w:t>
            </w:r>
          </w:p>
        </w:tc>
        <w:tc>
          <w:tcPr>
            <w:tcW w:w="18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校级教师教学创新大赛、教学基本功大赛、毓秀教学奖</w:t>
            </w:r>
            <w:r>
              <w:rPr>
                <w:rFonts w:hint="eastAsia" w:ascii="仿宋_GB2312" w:hAnsi="Times New Roman" w:eastAsia="仿宋_GB2312" w:cs="Times New Roman"/>
                <w:color w:val="000000" w:themeColor="text1"/>
                <w:sz w:val="24"/>
                <w:szCs w:val="24"/>
                <w:highlight w:val="none"/>
                <w:shd w:val="clear" w:color="auto" w:fill="FFFFFF"/>
                <w:lang w:eastAsia="zh-CN"/>
              </w:rPr>
              <w:t>、</w:t>
            </w:r>
            <w:r>
              <w:rPr>
                <w:rFonts w:hint="eastAsia" w:ascii="仿宋_GB2312" w:hAnsi="Times New Roman" w:eastAsia="仿宋_GB2312" w:cs="Times New Roman"/>
                <w:color w:val="000000" w:themeColor="text1"/>
                <w:sz w:val="24"/>
                <w:szCs w:val="24"/>
                <w:highlight w:val="none"/>
                <w:lang w:eastAsia="zh-CN"/>
              </w:rPr>
              <w:t>优质本科教案及本科教育教学类相关奖项最高等级奖获得者。</w:t>
            </w: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北京高校教师教学创新大赛、北京高校青年教师教学基本功比赛、</w:t>
            </w:r>
            <w:r>
              <w:rPr>
                <w:rFonts w:hint="eastAsia" w:ascii="仿宋_GB2312" w:hAnsi="Times New Roman" w:eastAsia="仿宋_GB2312" w:cs="Times New Roman"/>
                <w:color w:val="000000" w:themeColor="text1"/>
                <w:sz w:val="24"/>
                <w:szCs w:val="24"/>
                <w:highlight w:val="none"/>
                <w:shd w:val="clear" w:color="auto" w:fill="FFFFFF"/>
                <w:lang w:eastAsia="zh-CN"/>
              </w:rPr>
              <w:t>北京市“最美课堂”评选、</w:t>
            </w:r>
            <w:r>
              <w:rPr>
                <w:rFonts w:hint="eastAsia" w:ascii="仿宋_GB2312" w:hAnsi="宋体" w:eastAsia="仿宋_GB2312" w:cs="宋体"/>
                <w:color w:val="000000" w:themeColor="text1"/>
                <w:sz w:val="24"/>
                <w:highlight w:val="none"/>
                <w:lang w:eastAsia="zh-CN"/>
              </w:rPr>
              <w:t>北京高校各思政课教学研究会教学基本功比赛</w:t>
            </w:r>
            <w:r>
              <w:rPr>
                <w:rFonts w:hint="eastAsia" w:ascii="仿宋_GB2312" w:hAnsi="Times New Roman" w:eastAsia="仿宋_GB2312" w:cs="Times New Roman"/>
                <w:color w:val="000000" w:themeColor="text1"/>
                <w:sz w:val="24"/>
                <w:szCs w:val="24"/>
                <w:highlight w:val="none"/>
                <w:shd w:val="clear" w:color="auto" w:fill="FFFFFF"/>
                <w:lang w:eastAsia="zh-CN"/>
              </w:rPr>
              <w:t>次高等级及以上奖</w:t>
            </w:r>
            <w:r>
              <w:rPr>
                <w:rFonts w:hint="eastAsia" w:ascii="仿宋_GB2312" w:hAnsi="Times New Roman" w:eastAsia="仿宋_GB2312" w:cs="Times New Roman"/>
                <w:color w:val="000000" w:themeColor="text1"/>
                <w:sz w:val="24"/>
                <w:szCs w:val="24"/>
                <w:highlight w:val="none"/>
                <w:lang w:eastAsia="zh-CN"/>
              </w:rPr>
              <w:t>（团队）排名2—3参与人。</w:t>
            </w:r>
          </w:p>
        </w:tc>
        <w:tc>
          <w:tcPr>
            <w:tcW w:w="17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校级教师教学创新大赛、教学基本功大赛、毓秀教学奖</w:t>
            </w:r>
            <w:r>
              <w:rPr>
                <w:rFonts w:hint="eastAsia" w:ascii="仿宋_GB2312" w:hAnsi="Times New Roman" w:eastAsia="仿宋_GB2312" w:cs="Times New Roman"/>
                <w:color w:val="000000" w:themeColor="text1"/>
                <w:sz w:val="24"/>
                <w:szCs w:val="24"/>
                <w:highlight w:val="none"/>
                <w:shd w:val="clear" w:color="auto" w:fill="FFFFFF"/>
                <w:lang w:eastAsia="zh-CN"/>
              </w:rPr>
              <w:t>、</w:t>
            </w:r>
            <w:r>
              <w:rPr>
                <w:rFonts w:hint="eastAsia" w:ascii="仿宋_GB2312" w:hAnsi="Times New Roman" w:eastAsia="仿宋_GB2312" w:cs="Times New Roman"/>
                <w:color w:val="000000" w:themeColor="text1"/>
                <w:sz w:val="24"/>
                <w:szCs w:val="24"/>
                <w:highlight w:val="none"/>
                <w:lang w:eastAsia="zh-CN"/>
              </w:rPr>
              <w:t>优质本科教案及本科教育教学类相关奖项最高等级奖（团队）排名2—3参与人。</w:t>
            </w:r>
          </w:p>
          <w:p>
            <w:pPr>
              <w:autoSpaceDE w:val="0"/>
              <w:autoSpaceDN w:val="0"/>
              <w:jc w:val="left"/>
              <w:rPr>
                <w:rFonts w:ascii="仿宋_GB2312" w:hAnsi="Times New Roman" w:eastAsia="仿宋_GB2312" w:cs="Times New Roman"/>
                <w:color w:val="000000" w:themeColor="text1"/>
                <w:sz w:val="24"/>
                <w:szCs w:val="24"/>
                <w:highlight w:val="none"/>
                <w:lang w:eastAsia="zh-CN"/>
              </w:rPr>
            </w:pPr>
          </w:p>
        </w:tc>
      </w:tr>
      <w:tr>
        <w:tblPrEx>
          <w:tblCellMar>
            <w:top w:w="0" w:type="dxa"/>
            <w:left w:w="0" w:type="dxa"/>
            <w:bottom w:w="0" w:type="dxa"/>
            <w:right w:w="0" w:type="dxa"/>
          </w:tblCellMar>
        </w:tblPrEx>
        <w:trPr>
          <w:jc w:val="center"/>
        </w:trPr>
        <w:tc>
          <w:tcPr>
            <w:tcW w:w="1848"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b/>
                <w:sz w:val="24"/>
                <w:szCs w:val="24"/>
                <w:lang w:eastAsia="zh-CN"/>
              </w:rPr>
            </w:pPr>
            <w:r>
              <w:rPr>
                <w:rFonts w:hint="eastAsia" w:ascii="仿宋_GB2312" w:hAnsi="Times New Roman" w:eastAsia="仿宋_GB2312" w:cs="Times New Roman"/>
                <w:b/>
                <w:sz w:val="24"/>
                <w:szCs w:val="24"/>
                <w:lang w:eastAsia="zh-CN"/>
              </w:rPr>
              <w:t>毕业设计（论文）及实践教学优秀指导教师</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autoSpaceDE w:val="0"/>
              <w:autoSpaceDN w:val="0"/>
              <w:jc w:val="center"/>
              <w:rPr>
                <w:rFonts w:ascii="仿宋_GB2312" w:hAnsi="Times New Roman" w:eastAsia="仿宋_GB2312" w:cs="Times New Roman"/>
                <w:sz w:val="24"/>
                <w:szCs w:val="24"/>
                <w:lang w:eastAsia="en-US"/>
              </w:rPr>
            </w:pPr>
            <w:r>
              <w:rPr>
                <w:rFonts w:hint="eastAsia" w:ascii="仿宋_GB2312" w:hAnsi="Times New Roman" w:eastAsia="仿宋_GB2312" w:cs="Times New Roman"/>
                <w:sz w:val="24"/>
                <w:szCs w:val="24"/>
                <w:lang w:eastAsia="en-US"/>
              </w:rPr>
              <w:t>-</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sz w:val="24"/>
                <w:szCs w:val="24"/>
                <w:lang w:eastAsia="en-US"/>
              </w:rPr>
            </w:pPr>
            <w:r>
              <w:rPr>
                <w:rFonts w:hint="eastAsia" w:ascii="仿宋_GB2312" w:hAnsi="Times New Roman" w:eastAsia="仿宋_GB2312" w:cs="Times New Roman"/>
                <w:sz w:val="24"/>
                <w:szCs w:val="24"/>
                <w:lang w:eastAsia="en-US"/>
              </w:rPr>
              <w:t>-</w:t>
            </w:r>
          </w:p>
        </w:tc>
        <w:tc>
          <w:tcPr>
            <w:tcW w:w="26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北京高校优秀大学生毕业设计（论文）指导教师、北京高校优秀本科实验教学指导教师</w:t>
            </w: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国家和北京市级创新创业指导教师</w:t>
            </w:r>
          </w:p>
        </w:tc>
        <w:tc>
          <w:tcPr>
            <w:tcW w:w="2542"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color w:val="000000" w:themeColor="text1"/>
                <w:sz w:val="24"/>
                <w:szCs w:val="24"/>
                <w:highlight w:val="none"/>
                <w:lang w:eastAsia="zh-CN"/>
              </w:rPr>
            </w:pPr>
          </w:p>
        </w:tc>
        <w:tc>
          <w:tcPr>
            <w:tcW w:w="18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color w:val="000000" w:themeColor="text1"/>
                <w:sz w:val="24"/>
                <w:szCs w:val="24"/>
                <w:highlight w:val="none"/>
                <w:shd w:val="clear" w:color="auto" w:fill="FFFFFF"/>
                <w:lang w:eastAsia="zh-CN"/>
              </w:rPr>
            </w:pPr>
            <w:r>
              <w:rPr>
                <w:rFonts w:hint="eastAsia" w:ascii="仿宋_GB2312" w:hAnsi="Times New Roman" w:eastAsia="仿宋_GB2312" w:cs="Times New Roman"/>
                <w:color w:val="000000" w:themeColor="text1"/>
                <w:sz w:val="24"/>
                <w:szCs w:val="24"/>
                <w:highlight w:val="none"/>
                <w:lang w:eastAsia="zh-CN"/>
              </w:rPr>
              <w:t>校级毕业设计（论文）优秀指导教师、</w:t>
            </w:r>
            <w:r>
              <w:rPr>
                <w:rFonts w:hint="eastAsia" w:ascii="仿宋_GB2312" w:hAnsi="Times New Roman" w:eastAsia="仿宋_GB2312" w:cs="Times New Roman"/>
                <w:color w:val="000000" w:themeColor="text1"/>
                <w:sz w:val="24"/>
                <w:szCs w:val="24"/>
                <w:highlight w:val="none"/>
                <w:shd w:val="clear" w:color="auto" w:fill="FFFFFF"/>
                <w:lang w:eastAsia="zh-CN"/>
              </w:rPr>
              <w:t>校级优秀产教融合指导教师</w:t>
            </w:r>
          </w:p>
          <w:p>
            <w:pPr>
              <w:autoSpaceDE w:val="0"/>
              <w:autoSpaceDN w:val="0"/>
              <w:jc w:val="left"/>
              <w:rPr>
                <w:rFonts w:hint="eastAsia" w:ascii="仿宋_GB2312" w:hAnsi="Times New Roman" w:eastAsia="仿宋_GB2312" w:cs="Times New Roman"/>
                <w:color w:val="000000" w:themeColor="text1"/>
                <w:sz w:val="24"/>
                <w:szCs w:val="24"/>
                <w:highlight w:val="none"/>
                <w:shd w:val="clear" w:color="auto" w:fill="FFFFFF"/>
                <w:lang w:eastAsia="zh-CN"/>
              </w:rPr>
            </w:pPr>
            <w:r>
              <w:rPr>
                <w:rFonts w:hint="eastAsia" w:ascii="仿宋_GB2312" w:hAnsi="Times New Roman" w:eastAsia="仿宋_GB2312" w:cs="Times New Roman"/>
                <w:color w:val="000000" w:themeColor="text1"/>
                <w:sz w:val="24"/>
                <w:szCs w:val="24"/>
                <w:highlight w:val="none"/>
                <w:shd w:val="clear" w:color="auto" w:fill="FFFFFF"/>
                <w:lang w:eastAsia="zh-CN"/>
              </w:rPr>
              <w:t>校级优秀双创指导教师</w:t>
            </w:r>
          </w:p>
          <w:p>
            <w:pPr>
              <w:autoSpaceDE w:val="0"/>
              <w:autoSpaceDN w:val="0"/>
              <w:jc w:val="left"/>
              <w:rPr>
                <w:rFonts w:ascii="仿宋_GB2312" w:hAnsi="Times New Roman" w:eastAsia="仿宋_GB2312" w:cs="Times New Roman"/>
                <w:color w:val="000000" w:themeColor="text1"/>
                <w:sz w:val="24"/>
                <w:szCs w:val="24"/>
                <w:highlight w:val="none"/>
                <w:shd w:val="clear" w:color="auto" w:fill="FFFFFF"/>
                <w:lang w:eastAsia="zh-CN"/>
              </w:rPr>
            </w:pPr>
            <w:r>
              <w:rPr>
                <w:rFonts w:hint="eastAsia" w:ascii="仿宋_GB2312" w:hAnsi="Times New Roman" w:eastAsia="仿宋_GB2312" w:cs="Times New Roman"/>
                <w:color w:val="000000" w:themeColor="text1"/>
                <w:sz w:val="24"/>
                <w:szCs w:val="24"/>
                <w:highlight w:val="none"/>
                <w:lang w:eastAsia="zh-CN"/>
              </w:rPr>
              <w:t>校级优秀本科</w:t>
            </w:r>
            <w:r>
              <w:rPr>
                <w:rFonts w:hint="eastAsia" w:ascii="仿宋_GB2312" w:hAnsi="Times New Roman" w:eastAsia="仿宋_GB2312" w:cs="Times New Roman"/>
                <w:color w:val="000000" w:themeColor="text1"/>
                <w:sz w:val="24"/>
                <w:szCs w:val="24"/>
                <w:highlight w:val="none"/>
                <w:shd w:val="clear" w:color="auto" w:fill="FFFFFF"/>
                <w:lang w:eastAsia="zh-CN"/>
              </w:rPr>
              <w:t>实验教学指导教师</w:t>
            </w:r>
          </w:p>
        </w:tc>
        <w:tc>
          <w:tcPr>
            <w:tcW w:w="17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color w:val="000000" w:themeColor="text1"/>
                <w:sz w:val="24"/>
                <w:szCs w:val="24"/>
                <w:highlight w:val="none"/>
                <w:lang w:eastAsia="en-US"/>
              </w:rPr>
            </w:pPr>
            <w:r>
              <w:rPr>
                <w:rFonts w:hint="eastAsia" w:ascii="仿宋_GB2312" w:hAnsi="Times New Roman" w:eastAsia="仿宋_GB2312" w:cs="Times New Roman"/>
                <w:color w:val="000000" w:themeColor="text1"/>
                <w:sz w:val="24"/>
                <w:szCs w:val="24"/>
                <w:highlight w:val="none"/>
                <w:lang w:eastAsia="en-US"/>
              </w:rPr>
              <w:t>-</w:t>
            </w:r>
          </w:p>
        </w:tc>
      </w:tr>
      <w:tr>
        <w:tblPrEx>
          <w:tblCellMar>
            <w:top w:w="0" w:type="dxa"/>
            <w:left w:w="0" w:type="dxa"/>
            <w:bottom w:w="0" w:type="dxa"/>
            <w:right w:w="0" w:type="dxa"/>
          </w:tblCellMar>
        </w:tblPrEx>
        <w:trPr>
          <w:jc w:val="center"/>
        </w:trPr>
        <w:tc>
          <w:tcPr>
            <w:tcW w:w="1848"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center"/>
              <w:rPr>
                <w:rFonts w:ascii="仿宋_GB2312" w:hAnsi="Times New Roman" w:eastAsia="仿宋_GB2312" w:cs="Times New Roman"/>
                <w:b/>
                <w:sz w:val="24"/>
                <w:szCs w:val="24"/>
                <w:lang w:eastAsia="zh-CN"/>
              </w:rPr>
            </w:pPr>
            <w:r>
              <w:rPr>
                <w:rFonts w:hint="eastAsia" w:ascii="仿宋_GB2312" w:hAnsi="Times New Roman" w:eastAsia="仿宋_GB2312" w:cs="Times New Roman"/>
                <w:b/>
                <w:sz w:val="24"/>
                <w:szCs w:val="24"/>
                <w:lang w:eastAsia="zh-CN"/>
              </w:rPr>
              <w:t>教师指导各类学科竞赛及学生科技活动获奖</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“互联网+（中国国际大学生创新大赛）”“挑战杯”竞赛获国家级最高奖的排名第一的指导教师。</w:t>
            </w:r>
          </w:p>
        </w:tc>
        <w:tc>
          <w:tcPr>
            <w:tcW w:w="2410"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“互联网+（中国国际大学生创新大赛）”“挑战杯”竞赛获国家级最高奖的排名2--3合作指导教师。</w:t>
            </w:r>
          </w:p>
          <w:p>
            <w:pPr>
              <w:autoSpaceDE w:val="0"/>
              <w:autoSpaceDN w:val="0"/>
              <w:jc w:val="left"/>
              <w:rPr>
                <w:rFonts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“互联网+（中国国际大学生创新大赛）”“挑战杯”竞赛获国家级次高、第三等级奖的排名第一的指导教师（不含参与奖）。</w:t>
            </w:r>
          </w:p>
          <w:p>
            <w:pPr>
              <w:autoSpaceDE w:val="0"/>
              <w:autoSpaceDN w:val="0"/>
              <w:jc w:val="left"/>
              <w:rPr>
                <w:rFonts w:ascii="仿宋_GB2312" w:hAnsi="Times New Roman" w:eastAsia="仿宋_GB2312" w:cs="Times New Roman"/>
                <w:sz w:val="24"/>
                <w:szCs w:val="24"/>
                <w:lang w:eastAsia="zh-CN"/>
              </w:rPr>
            </w:pPr>
          </w:p>
        </w:tc>
        <w:tc>
          <w:tcPr>
            <w:tcW w:w="2693"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“互联网+（中国国际大学生创新大赛）”“挑战杯”竞赛获国家级次高、第三等级奖的排名2--3的合作指导教师（不含参与奖）。</w:t>
            </w: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“全国普通高校学科竞赛排行榜”上榜学科竞赛获国家级最高奖、次高奖的排名第一的指导教师（不含参与奖）。</w:t>
            </w:r>
          </w:p>
          <w:p>
            <w:pPr>
              <w:autoSpaceDE w:val="0"/>
              <w:autoSpaceDN w:val="0"/>
              <w:jc w:val="left"/>
              <w:rPr>
                <w:rFonts w:ascii="仿宋_GB2312" w:hAnsi="Times New Roman" w:eastAsia="仿宋_GB2312" w:cs="Times New Roman"/>
                <w:color w:val="000000" w:themeColor="text1"/>
                <w:sz w:val="24"/>
                <w:szCs w:val="24"/>
                <w:highlight w:val="none"/>
                <w:lang w:eastAsia="zh-CN"/>
              </w:rPr>
            </w:pP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北京高校优秀大学生学科竞赛指导教师。</w:t>
            </w:r>
          </w:p>
          <w:p>
            <w:pPr>
              <w:autoSpaceDE w:val="0"/>
              <w:autoSpaceDN w:val="0"/>
              <w:jc w:val="left"/>
              <w:rPr>
                <w:rFonts w:ascii="仿宋_GB2312" w:hAnsi="Times New Roman" w:eastAsia="仿宋_GB2312" w:cs="Times New Roman"/>
                <w:color w:val="000000" w:themeColor="text1"/>
                <w:sz w:val="24"/>
                <w:szCs w:val="24"/>
                <w:highlight w:val="none"/>
                <w:lang w:eastAsia="zh-CN"/>
              </w:rPr>
            </w:pP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注：1</w:t>
            </w:r>
            <w:r>
              <w:rPr>
                <w:rFonts w:ascii="仿宋_GB2312" w:hAnsi="Times New Roman" w:eastAsia="仿宋_GB2312" w:cs="Times New Roman"/>
                <w:color w:val="000000" w:themeColor="text1"/>
                <w:sz w:val="24"/>
                <w:szCs w:val="24"/>
                <w:highlight w:val="none"/>
                <w:lang w:eastAsia="zh-CN"/>
              </w:rPr>
              <w:t>0</w:t>
            </w:r>
            <w:r>
              <w:rPr>
                <w:rFonts w:hint="eastAsia" w:ascii="仿宋_GB2312" w:hAnsi="Times New Roman" w:eastAsia="仿宋_GB2312" w:cs="Times New Roman"/>
                <w:color w:val="000000" w:themeColor="text1"/>
                <w:sz w:val="24"/>
                <w:szCs w:val="24"/>
                <w:highlight w:val="none"/>
                <w:lang w:eastAsia="zh-CN"/>
              </w:rPr>
              <w:t>项考试类竞赛获奖相等于1项项目类竞赛获奖</w:t>
            </w:r>
          </w:p>
        </w:tc>
        <w:tc>
          <w:tcPr>
            <w:tcW w:w="2542"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“全国普通高校学科竞赛排行榜”上榜学科竞赛</w:t>
            </w: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获国家级最高奖、次高奖的排名2的指导教师，以及获国家级第三等级奖（不含参与奖）的排名第一的指导教师，以及获省部级最高奖、次高奖（不含参与奖）排名第一的指导教师。</w:t>
            </w: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全国普通高校学科竞赛排行榜”未上榜且学校认可的其他学科竞赛及学生科技活动获国家级最高奖、次高奖的排名第一的指导教师（不含参与奖）。</w:t>
            </w:r>
          </w:p>
          <w:p>
            <w:pPr>
              <w:autoSpaceDE w:val="0"/>
              <w:autoSpaceDN w:val="0"/>
              <w:jc w:val="left"/>
              <w:rPr>
                <w:rFonts w:ascii="仿宋_GB2312" w:hAnsi="Times New Roman" w:eastAsia="仿宋_GB2312" w:cs="Times New Roman"/>
                <w:color w:val="000000" w:themeColor="text1"/>
                <w:sz w:val="24"/>
                <w:szCs w:val="24"/>
                <w:highlight w:val="none"/>
                <w:lang w:eastAsia="zh-CN"/>
              </w:rPr>
            </w:pPr>
          </w:p>
          <w:p>
            <w:pPr>
              <w:autoSpaceDE w:val="0"/>
              <w:autoSpaceDN w:val="0"/>
              <w:jc w:val="left"/>
              <w:rPr>
                <w:rFonts w:ascii="仿宋_GB2312" w:hAnsi="Times New Roman" w:eastAsia="仿宋_GB2312" w:cs="Times New Roman"/>
                <w:color w:val="000000" w:themeColor="text1"/>
                <w:sz w:val="24"/>
                <w:szCs w:val="24"/>
                <w:highlight w:val="none"/>
                <w:lang w:eastAsia="zh-CN"/>
              </w:rPr>
            </w:pPr>
          </w:p>
          <w:p>
            <w:pPr>
              <w:autoSpaceDE w:val="0"/>
              <w:autoSpaceDN w:val="0"/>
              <w:jc w:val="left"/>
              <w:rPr>
                <w:rFonts w:ascii="仿宋_GB2312" w:hAnsi="Times New Roman" w:eastAsia="仿宋_GB2312" w:cs="Times New Roman"/>
                <w:color w:val="000000" w:themeColor="text1"/>
                <w:sz w:val="24"/>
                <w:szCs w:val="24"/>
                <w:highlight w:val="none"/>
                <w:lang w:eastAsia="zh-CN"/>
              </w:rPr>
            </w:pP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注：10项考试类竞赛获奖相等于1项项目类竞赛获奖</w:t>
            </w:r>
          </w:p>
        </w:tc>
        <w:tc>
          <w:tcPr>
            <w:tcW w:w="18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全国普通高校学科竞赛排行榜”上榜学科竞赛获国家级第三等级奖（不含参与奖）的排名第2-</w:t>
            </w:r>
            <w:r>
              <w:rPr>
                <w:rFonts w:ascii="仿宋_GB2312" w:hAnsi="Times New Roman" w:eastAsia="仿宋_GB2312" w:cs="Times New Roman"/>
                <w:color w:val="000000" w:themeColor="text1"/>
                <w:sz w:val="24"/>
                <w:szCs w:val="24"/>
                <w:highlight w:val="none"/>
                <w:lang w:eastAsia="zh-CN"/>
              </w:rPr>
              <w:t>3</w:t>
            </w:r>
            <w:r>
              <w:rPr>
                <w:rFonts w:hint="eastAsia" w:ascii="仿宋_GB2312" w:hAnsi="Times New Roman" w:eastAsia="仿宋_GB2312" w:cs="Times New Roman"/>
                <w:color w:val="000000" w:themeColor="text1"/>
                <w:sz w:val="24"/>
                <w:szCs w:val="24"/>
                <w:highlight w:val="none"/>
                <w:lang w:eastAsia="zh-CN"/>
              </w:rPr>
              <w:t>位的合作指导教师。获省部级最高奖、次高奖排名第2-</w:t>
            </w:r>
            <w:r>
              <w:rPr>
                <w:rFonts w:ascii="仿宋_GB2312" w:hAnsi="Times New Roman" w:eastAsia="仿宋_GB2312" w:cs="Times New Roman"/>
                <w:color w:val="000000" w:themeColor="text1"/>
                <w:sz w:val="24"/>
                <w:szCs w:val="24"/>
                <w:highlight w:val="none"/>
                <w:lang w:eastAsia="zh-CN"/>
              </w:rPr>
              <w:t>3</w:t>
            </w:r>
            <w:r>
              <w:rPr>
                <w:rFonts w:hint="eastAsia" w:ascii="仿宋_GB2312" w:hAnsi="Times New Roman" w:eastAsia="仿宋_GB2312" w:cs="Times New Roman"/>
                <w:color w:val="000000" w:themeColor="text1"/>
                <w:sz w:val="24"/>
                <w:szCs w:val="24"/>
                <w:highlight w:val="none"/>
                <w:lang w:eastAsia="zh-CN"/>
              </w:rPr>
              <w:t>的指导教师。获省部级</w:t>
            </w: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第三等级奖（不含参与奖）的排名第一的指导教师。</w:t>
            </w:r>
          </w:p>
          <w:p>
            <w:pPr>
              <w:autoSpaceDE w:val="0"/>
              <w:autoSpaceDN w:val="0"/>
              <w:jc w:val="left"/>
              <w:rPr>
                <w:rFonts w:ascii="仿宋_GB2312" w:hAnsi="Times New Roman" w:eastAsia="仿宋_GB2312" w:cs="Times New Roman"/>
                <w:color w:val="000000" w:themeColor="text1"/>
                <w:sz w:val="24"/>
                <w:szCs w:val="24"/>
                <w:highlight w:val="none"/>
                <w:lang w:eastAsia="zh-CN"/>
              </w:rPr>
            </w:pPr>
          </w:p>
          <w:p>
            <w:pPr>
              <w:autoSpaceDE w:val="0"/>
              <w:autoSpaceDN w:val="0"/>
              <w:jc w:val="left"/>
              <w:rPr>
                <w:rFonts w:hint="eastAsia"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“全国普通高校学科竞赛排行榜”未上榜且学校认可的学科竞赛及学生科技活动获获国家级最高奖、次高奖的排名2-</w:t>
            </w:r>
            <w:r>
              <w:rPr>
                <w:rFonts w:ascii="仿宋_GB2312" w:hAnsi="Times New Roman" w:eastAsia="仿宋_GB2312" w:cs="Times New Roman"/>
                <w:color w:val="000000" w:themeColor="text1"/>
                <w:sz w:val="24"/>
                <w:szCs w:val="24"/>
                <w:highlight w:val="none"/>
                <w:lang w:eastAsia="zh-CN"/>
              </w:rPr>
              <w:t>3</w:t>
            </w:r>
            <w:r>
              <w:rPr>
                <w:rFonts w:hint="eastAsia" w:ascii="仿宋_GB2312" w:hAnsi="Times New Roman" w:eastAsia="仿宋_GB2312" w:cs="Times New Roman"/>
                <w:color w:val="000000" w:themeColor="text1"/>
                <w:sz w:val="24"/>
                <w:szCs w:val="24"/>
                <w:highlight w:val="none"/>
                <w:lang w:eastAsia="zh-CN"/>
              </w:rPr>
              <w:t>的指导教师，以及获国家级第三等级奖（不含参与奖）的排名第一的指导教师；获省部级最高奖、次高奖的排名第一的指导教师（不含参与奖）。</w:t>
            </w: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校级优秀大学生学科竞赛指导教师。</w:t>
            </w:r>
          </w:p>
          <w:p>
            <w:pPr>
              <w:autoSpaceDE w:val="0"/>
              <w:autoSpaceDN w:val="0"/>
              <w:jc w:val="left"/>
              <w:rPr>
                <w:rFonts w:ascii="仿宋_GB2312" w:hAnsi="Times New Roman" w:eastAsia="仿宋_GB2312" w:cs="Times New Roman"/>
                <w:color w:val="000000" w:themeColor="text1"/>
                <w:sz w:val="24"/>
                <w:szCs w:val="24"/>
                <w:highlight w:val="none"/>
                <w:lang w:eastAsia="zh-CN"/>
              </w:rPr>
            </w:pPr>
          </w:p>
          <w:p>
            <w:pPr>
              <w:autoSpaceDE w:val="0"/>
              <w:autoSpaceDN w:val="0"/>
              <w:jc w:val="left"/>
              <w:rPr>
                <w:rFonts w:ascii="仿宋_GB2312" w:hAnsi="Times New Roman" w:eastAsia="仿宋_GB2312" w:cs="Times New Roman"/>
                <w:color w:val="000000" w:themeColor="text1"/>
                <w:sz w:val="24"/>
                <w:szCs w:val="24"/>
                <w:highlight w:val="none"/>
                <w:lang w:eastAsia="zh-CN"/>
              </w:rPr>
            </w:pP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注：10项考试类竞赛获奖相等于1项项目类竞赛获奖</w:t>
            </w:r>
          </w:p>
        </w:tc>
        <w:tc>
          <w:tcPr>
            <w:tcW w:w="17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全国普通高校学科竞赛排行榜”上榜学科竞赛</w:t>
            </w: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获省部级第三等级奖（不含参与奖）的排名第2-</w:t>
            </w:r>
            <w:r>
              <w:rPr>
                <w:rFonts w:ascii="仿宋_GB2312" w:hAnsi="Times New Roman" w:eastAsia="仿宋_GB2312" w:cs="Times New Roman"/>
                <w:color w:val="000000" w:themeColor="text1"/>
                <w:sz w:val="24"/>
                <w:szCs w:val="24"/>
                <w:highlight w:val="none"/>
                <w:lang w:eastAsia="zh-CN"/>
              </w:rPr>
              <w:t>3</w:t>
            </w:r>
            <w:r>
              <w:rPr>
                <w:rFonts w:hint="eastAsia" w:ascii="仿宋_GB2312" w:hAnsi="Times New Roman" w:eastAsia="仿宋_GB2312" w:cs="Times New Roman"/>
                <w:color w:val="000000" w:themeColor="text1"/>
                <w:sz w:val="24"/>
                <w:szCs w:val="24"/>
                <w:highlight w:val="none"/>
                <w:lang w:eastAsia="zh-CN"/>
              </w:rPr>
              <w:t>的指导教师。</w:t>
            </w: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全国普通高校学科竞赛排行榜”未上榜且学校认可的学科竞赛及学生科技活动获省部级奖（不含参与奖）排名前3的指导教师。</w:t>
            </w: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校级学科竞赛及学生科技活动获最高奖、次高奖的指导教师（排名前3，不含参与奖）。</w:t>
            </w:r>
          </w:p>
          <w:p>
            <w:pPr>
              <w:autoSpaceDE w:val="0"/>
              <w:autoSpaceDN w:val="0"/>
              <w:jc w:val="left"/>
              <w:rPr>
                <w:rFonts w:ascii="仿宋_GB2312" w:hAnsi="Times New Roman" w:eastAsia="仿宋_GB2312" w:cs="Times New Roman"/>
                <w:color w:val="000000" w:themeColor="text1"/>
                <w:sz w:val="24"/>
                <w:szCs w:val="24"/>
                <w:highlight w:val="none"/>
                <w:lang w:eastAsia="zh-CN"/>
              </w:rPr>
            </w:pPr>
            <w:r>
              <w:rPr>
                <w:rFonts w:hint="eastAsia" w:ascii="仿宋_GB2312" w:hAnsi="Times New Roman" w:eastAsia="仿宋_GB2312" w:cs="Times New Roman"/>
                <w:color w:val="000000" w:themeColor="text1"/>
                <w:sz w:val="24"/>
                <w:szCs w:val="24"/>
                <w:highlight w:val="none"/>
                <w:lang w:eastAsia="zh-CN"/>
              </w:rPr>
              <w:t>注：10项考试类竞赛获奖相等于1项项目类竞赛获奖</w:t>
            </w:r>
          </w:p>
        </w:tc>
      </w:tr>
    </w:tbl>
    <w:p>
      <w:pPr>
        <w:spacing w:line="300" w:lineRule="auto"/>
        <w:ind w:firstLine="480" w:firstLineChars="200"/>
        <w:rPr>
          <w:rFonts w:ascii="仿宋_GB2312" w:eastAsia="仿宋_GB2312"/>
          <w:sz w:val="24"/>
          <w:szCs w:val="24"/>
        </w:rPr>
      </w:pPr>
    </w:p>
    <w:p>
      <w:pPr>
        <w:pStyle w:val="7"/>
        <w:spacing w:line="210" w:lineRule="auto"/>
        <w:ind w:right="302" w:rightChars="144"/>
        <w:jc w:val="both"/>
        <w:rPr>
          <w:sz w:val="24"/>
          <w:szCs w:val="24"/>
          <w:lang w:eastAsia="zh-CN"/>
        </w:rPr>
      </w:pPr>
      <w:r>
        <w:rPr>
          <w:rFonts w:hint="eastAsia"/>
          <w:sz w:val="24"/>
          <w:szCs w:val="24"/>
          <w:lang w:eastAsia="zh-CN"/>
        </w:rPr>
        <w:t>备注：</w:t>
      </w:r>
    </w:p>
    <w:p>
      <w:pPr>
        <w:pStyle w:val="7"/>
        <w:spacing w:line="210" w:lineRule="auto"/>
        <w:ind w:right="302" w:rightChars="144"/>
        <w:jc w:val="both"/>
        <w:rPr>
          <w:sz w:val="24"/>
          <w:szCs w:val="24"/>
          <w:lang w:eastAsia="zh-CN"/>
        </w:rPr>
      </w:pPr>
      <w:r>
        <w:rPr>
          <w:rFonts w:hint="eastAsia"/>
          <w:sz w:val="24"/>
          <w:szCs w:val="24"/>
          <w:lang w:eastAsia="zh-CN"/>
        </w:rPr>
        <w:t>1.以上教学项目和成果由教务处负责解释，项目和成果以批准时间为认定依据。</w:t>
      </w:r>
    </w:p>
    <w:p>
      <w:pPr>
        <w:pStyle w:val="7"/>
        <w:spacing w:line="210" w:lineRule="auto"/>
        <w:ind w:right="302" w:rightChars="144"/>
        <w:jc w:val="both"/>
        <w:rPr>
          <w:sz w:val="24"/>
          <w:szCs w:val="24"/>
          <w:lang w:eastAsia="zh-CN"/>
        </w:rPr>
      </w:pPr>
      <w:r>
        <w:rPr>
          <w:rFonts w:hint="eastAsia"/>
          <w:sz w:val="24"/>
          <w:szCs w:val="24"/>
          <w:lang w:eastAsia="zh-CN"/>
        </w:rPr>
        <w:t>2.同一教学项目或成果，仅计算最高级别，不重复计算。</w:t>
      </w:r>
    </w:p>
    <w:p>
      <w:pPr>
        <w:pStyle w:val="7"/>
        <w:spacing w:line="210" w:lineRule="auto"/>
        <w:ind w:right="302" w:rightChars="144"/>
        <w:jc w:val="both"/>
        <w:rPr>
          <w:sz w:val="24"/>
          <w:szCs w:val="24"/>
          <w:lang w:eastAsia="zh-CN"/>
        </w:rPr>
      </w:pPr>
      <w:r>
        <w:rPr>
          <w:rFonts w:hint="eastAsia"/>
          <w:sz w:val="24"/>
          <w:szCs w:val="24"/>
          <w:lang w:eastAsia="zh-CN"/>
        </w:rPr>
        <w:t>3.高等级的业绩可以覆盖低等级的业绩，计算公式：L</w:t>
      </w:r>
      <w:r>
        <w:rPr>
          <w:rFonts w:hint="eastAsia"/>
          <w:sz w:val="24"/>
          <w:szCs w:val="24"/>
          <w:vertAlign w:val="baseline"/>
          <w:lang w:eastAsia="zh-CN"/>
        </w:rPr>
        <w:t>n</w:t>
      </w:r>
      <w:r>
        <w:rPr>
          <w:rFonts w:hint="eastAsia"/>
          <w:sz w:val="24"/>
          <w:szCs w:val="24"/>
          <w:lang w:eastAsia="zh-CN"/>
        </w:rPr>
        <w:t>=2L</w:t>
      </w:r>
      <w:r>
        <w:rPr>
          <w:rFonts w:hint="eastAsia"/>
          <w:sz w:val="24"/>
          <w:szCs w:val="24"/>
          <w:vertAlign w:val="baseline"/>
          <w:lang w:eastAsia="zh-CN"/>
        </w:rPr>
        <w:t>(n+1)</w:t>
      </w:r>
      <w:r>
        <w:rPr>
          <w:rFonts w:hint="eastAsia"/>
          <w:sz w:val="24"/>
          <w:szCs w:val="24"/>
          <w:lang w:eastAsia="zh-CN"/>
        </w:rPr>
        <w:t>。</w:t>
      </w:r>
    </w:p>
    <w:p>
      <w:pPr>
        <w:pStyle w:val="7"/>
        <w:spacing w:line="210" w:lineRule="auto"/>
        <w:ind w:right="302" w:rightChars="144"/>
        <w:jc w:val="both"/>
        <w:rPr>
          <w:sz w:val="24"/>
          <w:szCs w:val="24"/>
          <w:lang w:eastAsia="zh-CN"/>
        </w:rPr>
      </w:pPr>
      <w:r>
        <w:rPr>
          <w:rFonts w:hint="eastAsia"/>
          <w:sz w:val="24"/>
          <w:szCs w:val="24"/>
          <w:lang w:eastAsia="zh-CN"/>
        </w:rPr>
        <w:t>4.对学校教学事业发展、提升教学水平具有示范作用、特殊贡献的成果等级，经个人或团队申请、院部推荐，学校教学指导委员会认定。</w:t>
      </w:r>
    </w:p>
    <w:p>
      <w:pPr>
        <w:spacing w:line="550" w:lineRule="exact"/>
        <w:rPr>
          <w:rFonts w:ascii="仿宋_GB2312" w:eastAsia="仿宋_GB2312"/>
          <w:sz w:val="32"/>
          <w:szCs w:val="32"/>
        </w:rPr>
      </w:pPr>
      <w:bookmarkStart w:id="1" w:name="_GoBack"/>
      <w:bookmarkEnd w:id="1"/>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rPr>
      <w:id w:val="1822698765"/>
    </w:sdtPr>
    <w:sdtEndPr>
      <w:rPr>
        <w:rFonts w:ascii="Times New Roman" w:hAnsi="Times New Roman" w:cs="Times New Roman"/>
        <w:sz w:val="28"/>
        <w:szCs w:val="28"/>
      </w:rPr>
    </w:sdtEndPr>
    <w:sdtContent>
      <w:p>
        <w:pPr>
          <w:pStyle w:val="13"/>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1</w:t>
        </w:r>
        <w:r>
          <w:rPr>
            <w:rFonts w:ascii="Times New Roman" w:hAnsi="Times New Roman" w:cs="Times New Roman"/>
            <w:sz w:val="28"/>
            <w:szCs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E3MmFhNGVmZmQ0MDU1NWE3N2JlY2ZmZmM1ZWU0MjYifQ=="/>
  </w:docVars>
  <w:rsids>
    <w:rsidRoot w:val="00C03887"/>
    <w:rsid w:val="00024E24"/>
    <w:rsid w:val="00041AC1"/>
    <w:rsid w:val="00054A20"/>
    <w:rsid w:val="000632FA"/>
    <w:rsid w:val="00063567"/>
    <w:rsid w:val="00066BA2"/>
    <w:rsid w:val="00071481"/>
    <w:rsid w:val="00090AEC"/>
    <w:rsid w:val="000A29A8"/>
    <w:rsid w:val="000A78AF"/>
    <w:rsid w:val="000B5AE5"/>
    <w:rsid w:val="000D1745"/>
    <w:rsid w:val="000D54A1"/>
    <w:rsid w:val="000D6225"/>
    <w:rsid w:val="000F5610"/>
    <w:rsid w:val="00105CEF"/>
    <w:rsid w:val="00113360"/>
    <w:rsid w:val="00125C49"/>
    <w:rsid w:val="00147E72"/>
    <w:rsid w:val="001505F6"/>
    <w:rsid w:val="001526EB"/>
    <w:rsid w:val="00156A10"/>
    <w:rsid w:val="00172A79"/>
    <w:rsid w:val="00186CDA"/>
    <w:rsid w:val="001B3F13"/>
    <w:rsid w:val="00203080"/>
    <w:rsid w:val="002160B8"/>
    <w:rsid w:val="00224D34"/>
    <w:rsid w:val="002339B0"/>
    <w:rsid w:val="00265838"/>
    <w:rsid w:val="00272949"/>
    <w:rsid w:val="002731A3"/>
    <w:rsid w:val="002D70B7"/>
    <w:rsid w:val="002D7E5C"/>
    <w:rsid w:val="002E52DF"/>
    <w:rsid w:val="0033066C"/>
    <w:rsid w:val="00331F38"/>
    <w:rsid w:val="003353B3"/>
    <w:rsid w:val="003436C9"/>
    <w:rsid w:val="00370942"/>
    <w:rsid w:val="00376D34"/>
    <w:rsid w:val="003B0A62"/>
    <w:rsid w:val="003B5EC0"/>
    <w:rsid w:val="003C28B0"/>
    <w:rsid w:val="003C2E36"/>
    <w:rsid w:val="003D729E"/>
    <w:rsid w:val="003F44D2"/>
    <w:rsid w:val="003F6D12"/>
    <w:rsid w:val="003F6F9D"/>
    <w:rsid w:val="00421A7D"/>
    <w:rsid w:val="00452154"/>
    <w:rsid w:val="00452C58"/>
    <w:rsid w:val="004756A8"/>
    <w:rsid w:val="00491AEC"/>
    <w:rsid w:val="0049718E"/>
    <w:rsid w:val="004A39AD"/>
    <w:rsid w:val="004C6180"/>
    <w:rsid w:val="004D1B9B"/>
    <w:rsid w:val="004D74C3"/>
    <w:rsid w:val="00501036"/>
    <w:rsid w:val="00506662"/>
    <w:rsid w:val="00515F98"/>
    <w:rsid w:val="00520D29"/>
    <w:rsid w:val="00544342"/>
    <w:rsid w:val="00563D41"/>
    <w:rsid w:val="00571B84"/>
    <w:rsid w:val="00597286"/>
    <w:rsid w:val="00597951"/>
    <w:rsid w:val="005B1196"/>
    <w:rsid w:val="005E77F9"/>
    <w:rsid w:val="0060203C"/>
    <w:rsid w:val="006236AA"/>
    <w:rsid w:val="00630A2C"/>
    <w:rsid w:val="00675EC9"/>
    <w:rsid w:val="00696722"/>
    <w:rsid w:val="006B076D"/>
    <w:rsid w:val="006B4F71"/>
    <w:rsid w:val="007028FF"/>
    <w:rsid w:val="007048CE"/>
    <w:rsid w:val="00713C74"/>
    <w:rsid w:val="00713CD2"/>
    <w:rsid w:val="00720963"/>
    <w:rsid w:val="0074023B"/>
    <w:rsid w:val="00765A7B"/>
    <w:rsid w:val="00785657"/>
    <w:rsid w:val="00796B72"/>
    <w:rsid w:val="007A389C"/>
    <w:rsid w:val="007A6D52"/>
    <w:rsid w:val="007C3E97"/>
    <w:rsid w:val="007C65B1"/>
    <w:rsid w:val="007C79B7"/>
    <w:rsid w:val="00822D6F"/>
    <w:rsid w:val="00830CD0"/>
    <w:rsid w:val="00871883"/>
    <w:rsid w:val="008757A8"/>
    <w:rsid w:val="00895286"/>
    <w:rsid w:val="008A001D"/>
    <w:rsid w:val="008F113C"/>
    <w:rsid w:val="009078CA"/>
    <w:rsid w:val="00940C8E"/>
    <w:rsid w:val="009447E0"/>
    <w:rsid w:val="00946C36"/>
    <w:rsid w:val="00956430"/>
    <w:rsid w:val="00971B51"/>
    <w:rsid w:val="0098474E"/>
    <w:rsid w:val="00993B4A"/>
    <w:rsid w:val="00993FEC"/>
    <w:rsid w:val="009B4430"/>
    <w:rsid w:val="009D4527"/>
    <w:rsid w:val="009D65BF"/>
    <w:rsid w:val="009D7724"/>
    <w:rsid w:val="00A00DAD"/>
    <w:rsid w:val="00A1165D"/>
    <w:rsid w:val="00A81E90"/>
    <w:rsid w:val="00A82DBD"/>
    <w:rsid w:val="00AA4279"/>
    <w:rsid w:val="00AB7974"/>
    <w:rsid w:val="00AC77A1"/>
    <w:rsid w:val="00AE10AC"/>
    <w:rsid w:val="00B20615"/>
    <w:rsid w:val="00B229DA"/>
    <w:rsid w:val="00B22FA2"/>
    <w:rsid w:val="00B432E0"/>
    <w:rsid w:val="00B4457C"/>
    <w:rsid w:val="00B54291"/>
    <w:rsid w:val="00B70072"/>
    <w:rsid w:val="00B828D8"/>
    <w:rsid w:val="00BA1547"/>
    <w:rsid w:val="00BA2A0F"/>
    <w:rsid w:val="00BA6D86"/>
    <w:rsid w:val="00BB7BF7"/>
    <w:rsid w:val="00C03887"/>
    <w:rsid w:val="00C04D79"/>
    <w:rsid w:val="00C201E9"/>
    <w:rsid w:val="00C21952"/>
    <w:rsid w:val="00C91717"/>
    <w:rsid w:val="00CB09FE"/>
    <w:rsid w:val="00CC1F22"/>
    <w:rsid w:val="00CE3661"/>
    <w:rsid w:val="00CE581E"/>
    <w:rsid w:val="00CF2C23"/>
    <w:rsid w:val="00D04D75"/>
    <w:rsid w:val="00D217C9"/>
    <w:rsid w:val="00D312E2"/>
    <w:rsid w:val="00D43DC4"/>
    <w:rsid w:val="00D56E10"/>
    <w:rsid w:val="00D66C7D"/>
    <w:rsid w:val="00DA20C1"/>
    <w:rsid w:val="00DB1E4D"/>
    <w:rsid w:val="00DC1518"/>
    <w:rsid w:val="00DD7A57"/>
    <w:rsid w:val="00DE7E68"/>
    <w:rsid w:val="00DF2114"/>
    <w:rsid w:val="00E42DA8"/>
    <w:rsid w:val="00E541D5"/>
    <w:rsid w:val="00E62F26"/>
    <w:rsid w:val="00E67B1E"/>
    <w:rsid w:val="00E75D7B"/>
    <w:rsid w:val="00E920B9"/>
    <w:rsid w:val="00ED1BE2"/>
    <w:rsid w:val="00ED25A0"/>
    <w:rsid w:val="00EE3372"/>
    <w:rsid w:val="00EE40A4"/>
    <w:rsid w:val="00F146C6"/>
    <w:rsid w:val="00F21EE2"/>
    <w:rsid w:val="00F26FF5"/>
    <w:rsid w:val="00F343A4"/>
    <w:rsid w:val="00F43607"/>
    <w:rsid w:val="00F6235D"/>
    <w:rsid w:val="00F70546"/>
    <w:rsid w:val="00F77263"/>
    <w:rsid w:val="00F8671B"/>
    <w:rsid w:val="00F92ECD"/>
    <w:rsid w:val="00FB12A1"/>
    <w:rsid w:val="00FD3B5B"/>
    <w:rsid w:val="00FE67FD"/>
    <w:rsid w:val="040205A2"/>
    <w:rsid w:val="05A058A6"/>
    <w:rsid w:val="06B53039"/>
    <w:rsid w:val="09BB5885"/>
    <w:rsid w:val="0B43227E"/>
    <w:rsid w:val="0FE51F22"/>
    <w:rsid w:val="12E32EDE"/>
    <w:rsid w:val="145D0DF7"/>
    <w:rsid w:val="158E49EC"/>
    <w:rsid w:val="192148C8"/>
    <w:rsid w:val="1A7C1301"/>
    <w:rsid w:val="1DA578BD"/>
    <w:rsid w:val="1F0423C1"/>
    <w:rsid w:val="20B8113C"/>
    <w:rsid w:val="21537630"/>
    <w:rsid w:val="23A128D5"/>
    <w:rsid w:val="2A6A15BA"/>
    <w:rsid w:val="3381002D"/>
    <w:rsid w:val="35D65462"/>
    <w:rsid w:val="3AC72CFB"/>
    <w:rsid w:val="3B0B6FB7"/>
    <w:rsid w:val="3FD249C2"/>
    <w:rsid w:val="43E837B0"/>
    <w:rsid w:val="49C8201A"/>
    <w:rsid w:val="4EBC7286"/>
    <w:rsid w:val="50EF0983"/>
    <w:rsid w:val="52AA667B"/>
    <w:rsid w:val="5A20736C"/>
    <w:rsid w:val="5C94625E"/>
    <w:rsid w:val="5E5A675C"/>
    <w:rsid w:val="5F69359F"/>
    <w:rsid w:val="60E61309"/>
    <w:rsid w:val="62892A11"/>
    <w:rsid w:val="66426252"/>
    <w:rsid w:val="66DC0AFB"/>
    <w:rsid w:val="679D5200"/>
    <w:rsid w:val="68293CE0"/>
    <w:rsid w:val="6AB53970"/>
    <w:rsid w:val="6D5B3536"/>
    <w:rsid w:val="791A70E4"/>
    <w:rsid w:val="793F707A"/>
    <w:rsid w:val="7AD02A83"/>
    <w:rsid w:val="7C842F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line="740" w:lineRule="exact"/>
      <w:jc w:val="center"/>
      <w:outlineLvl w:val="0"/>
    </w:pPr>
    <w:rPr>
      <w:rFonts w:ascii="方正小标宋简体" w:hAnsi="方正小标宋简体" w:eastAsia="方正小标宋简体"/>
      <w:bCs/>
      <w:kern w:val="44"/>
      <w:sz w:val="44"/>
      <w:szCs w:val="44"/>
    </w:rPr>
  </w:style>
  <w:style w:type="paragraph" w:styleId="3">
    <w:name w:val="heading 2"/>
    <w:basedOn w:val="1"/>
    <w:next w:val="1"/>
    <w:link w:val="26"/>
    <w:unhideWhenUsed/>
    <w:qFormat/>
    <w:uiPriority w:val="9"/>
    <w:pPr>
      <w:keepNext/>
      <w:keepLines/>
      <w:spacing w:line="550" w:lineRule="exact"/>
      <w:jc w:val="center"/>
      <w:outlineLvl w:val="1"/>
    </w:pPr>
    <w:rPr>
      <w:rFonts w:ascii="黑体" w:hAnsi="黑体" w:eastAsia="黑体" w:cstheme="majorBidi"/>
      <w:bCs/>
      <w:sz w:val="32"/>
      <w:szCs w:val="32"/>
    </w:rPr>
  </w:style>
  <w:style w:type="paragraph" w:styleId="4">
    <w:name w:val="heading 3"/>
    <w:basedOn w:val="1"/>
    <w:next w:val="1"/>
    <w:link w:val="32"/>
    <w:unhideWhenUsed/>
    <w:qFormat/>
    <w:uiPriority w:val="9"/>
    <w:pPr>
      <w:keepNext/>
      <w:keepLines/>
      <w:spacing w:line="550" w:lineRule="exact"/>
      <w:ind w:firstLine="643" w:firstLineChars="200"/>
      <w:jc w:val="left"/>
      <w:outlineLvl w:val="2"/>
    </w:pPr>
    <w:rPr>
      <w:rFonts w:ascii="仿宋_GB2312" w:eastAsia="仿宋_GB2312"/>
      <w:b/>
      <w:bCs/>
      <w:sz w:val="32"/>
      <w:szCs w:val="32"/>
    </w:rPr>
  </w:style>
  <w:style w:type="paragraph" w:styleId="5">
    <w:name w:val="heading 4"/>
    <w:basedOn w:val="1"/>
    <w:next w:val="1"/>
    <w:link w:val="42"/>
    <w:unhideWhenUsed/>
    <w:qFormat/>
    <w:uiPriority w:val="9"/>
    <w:pPr>
      <w:keepNext/>
      <w:keepLines/>
      <w:spacing w:line="550" w:lineRule="exact"/>
      <w:ind w:firstLine="200" w:firstLineChars="200"/>
      <w:jc w:val="left"/>
      <w:outlineLvl w:val="3"/>
    </w:pPr>
    <w:rPr>
      <w:rFonts w:ascii="黑体" w:hAnsi="黑体" w:eastAsia="黑体" w:cstheme="majorBidi"/>
      <w:bCs/>
      <w:sz w:val="32"/>
      <w:szCs w:val="28"/>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style>
  <w:style w:type="paragraph" w:styleId="7">
    <w:name w:val="Body Text"/>
    <w:basedOn w:val="1"/>
    <w:link w:val="44"/>
    <w:qFormat/>
    <w:uiPriority w:val="1"/>
    <w:pPr>
      <w:autoSpaceDE w:val="0"/>
      <w:autoSpaceDN w:val="0"/>
      <w:jc w:val="left"/>
    </w:pPr>
    <w:rPr>
      <w:rFonts w:ascii="宋体" w:hAnsi="宋体" w:eastAsia="宋体" w:cs="宋体"/>
      <w:kern w:val="0"/>
      <w:sz w:val="32"/>
      <w:szCs w:val="32"/>
      <w:lang w:eastAsia="en-US"/>
    </w:rPr>
  </w:style>
  <w:style w:type="paragraph" w:styleId="8">
    <w:name w:val="toc 5"/>
    <w:basedOn w:val="1"/>
    <w:next w:val="1"/>
    <w:unhideWhenUsed/>
    <w:qFormat/>
    <w:uiPriority w:val="39"/>
    <w:pPr>
      <w:ind w:left="1680" w:leftChars="800"/>
    </w:pPr>
  </w:style>
  <w:style w:type="paragraph" w:styleId="9">
    <w:name w:val="toc 3"/>
    <w:basedOn w:val="1"/>
    <w:next w:val="1"/>
    <w:unhideWhenUsed/>
    <w:qFormat/>
    <w:uiPriority w:val="39"/>
    <w:pPr>
      <w:widowControl/>
      <w:spacing w:after="100" w:line="276" w:lineRule="auto"/>
      <w:ind w:left="440"/>
      <w:jc w:val="left"/>
    </w:pPr>
    <w:rPr>
      <w:kern w:val="0"/>
      <w:sz w:val="22"/>
    </w:rPr>
  </w:style>
  <w:style w:type="paragraph" w:styleId="10">
    <w:name w:val="toc 8"/>
    <w:basedOn w:val="1"/>
    <w:next w:val="1"/>
    <w:unhideWhenUsed/>
    <w:qFormat/>
    <w:uiPriority w:val="39"/>
    <w:pPr>
      <w:ind w:left="2940" w:leftChars="1400"/>
    </w:pPr>
  </w:style>
  <w:style w:type="paragraph" w:styleId="11">
    <w:name w:val="Date"/>
    <w:basedOn w:val="1"/>
    <w:next w:val="1"/>
    <w:link w:val="41"/>
    <w:semiHidden/>
    <w:unhideWhenUsed/>
    <w:qFormat/>
    <w:uiPriority w:val="99"/>
    <w:pPr>
      <w:ind w:left="100" w:leftChars="2500"/>
    </w:pPr>
  </w:style>
  <w:style w:type="paragraph" w:styleId="12">
    <w:name w:val="Balloon Text"/>
    <w:basedOn w:val="1"/>
    <w:link w:val="29"/>
    <w:semiHidden/>
    <w:unhideWhenUsed/>
    <w:qFormat/>
    <w:uiPriority w:val="99"/>
    <w:rPr>
      <w:sz w:val="18"/>
      <w:szCs w:val="18"/>
    </w:rPr>
  </w:style>
  <w:style w:type="paragraph" w:styleId="13">
    <w:name w:val="footer"/>
    <w:basedOn w:val="1"/>
    <w:link w:val="28"/>
    <w:unhideWhenUsed/>
    <w:qFormat/>
    <w:uiPriority w:val="99"/>
    <w:pPr>
      <w:tabs>
        <w:tab w:val="center" w:pos="4153"/>
        <w:tab w:val="right" w:pos="8306"/>
      </w:tabs>
      <w:snapToGrid w:val="0"/>
      <w:jc w:val="left"/>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pPr>
      <w:widowControl/>
      <w:spacing w:after="100" w:line="276" w:lineRule="auto"/>
      <w:jc w:val="left"/>
    </w:pPr>
    <w:rPr>
      <w:kern w:val="0"/>
      <w:sz w:val="22"/>
    </w:rPr>
  </w:style>
  <w:style w:type="paragraph" w:styleId="16">
    <w:name w:val="toc 4"/>
    <w:basedOn w:val="1"/>
    <w:next w:val="1"/>
    <w:unhideWhenUsed/>
    <w:qFormat/>
    <w:uiPriority w:val="39"/>
    <w:pPr>
      <w:ind w:left="1260" w:leftChars="600"/>
    </w:pPr>
  </w:style>
  <w:style w:type="paragraph" w:styleId="17">
    <w:name w:val="toc 6"/>
    <w:basedOn w:val="1"/>
    <w:next w:val="1"/>
    <w:unhideWhenUsed/>
    <w:qFormat/>
    <w:uiPriority w:val="39"/>
    <w:pPr>
      <w:ind w:left="2100" w:leftChars="1000"/>
    </w:pPr>
  </w:style>
  <w:style w:type="paragraph" w:styleId="18">
    <w:name w:val="toc 2"/>
    <w:basedOn w:val="1"/>
    <w:next w:val="1"/>
    <w:unhideWhenUsed/>
    <w:qFormat/>
    <w:uiPriority w:val="39"/>
    <w:pPr>
      <w:widowControl/>
      <w:tabs>
        <w:tab w:val="right" w:leader="dot" w:pos="8296"/>
      </w:tabs>
      <w:spacing w:line="550" w:lineRule="exact"/>
      <w:ind w:firstLine="440" w:firstLineChars="200"/>
      <w:jc w:val="left"/>
    </w:pPr>
    <w:rPr>
      <w:kern w:val="0"/>
      <w:sz w:val="22"/>
    </w:rPr>
  </w:style>
  <w:style w:type="paragraph" w:styleId="19">
    <w:name w:val="toc 9"/>
    <w:basedOn w:val="1"/>
    <w:next w:val="1"/>
    <w:unhideWhenUsed/>
    <w:qFormat/>
    <w:uiPriority w:val="39"/>
    <w:pPr>
      <w:ind w:left="3360" w:leftChars="1600"/>
    </w:pPr>
  </w:style>
  <w:style w:type="paragraph" w:styleId="2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22">
    <w:name w:val="Table Grid"/>
    <w:basedOn w:val="21"/>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22"/>
    <w:rPr>
      <w:b/>
      <w:bCs/>
    </w:rPr>
  </w:style>
  <w:style w:type="character" w:styleId="25">
    <w:name w:val="Hyperlink"/>
    <w:basedOn w:val="23"/>
    <w:unhideWhenUsed/>
    <w:qFormat/>
    <w:uiPriority w:val="99"/>
    <w:rPr>
      <w:color w:val="0000FF" w:themeColor="hyperlink"/>
      <w:u w:val="single"/>
    </w:rPr>
  </w:style>
  <w:style w:type="character" w:customStyle="1" w:styleId="26">
    <w:name w:val="标题 2 Char"/>
    <w:basedOn w:val="23"/>
    <w:link w:val="3"/>
    <w:qFormat/>
    <w:uiPriority w:val="9"/>
    <w:rPr>
      <w:rFonts w:ascii="黑体" w:hAnsi="黑体" w:eastAsia="黑体" w:cstheme="majorBidi"/>
      <w:bCs/>
      <w:kern w:val="2"/>
      <w:sz w:val="32"/>
      <w:szCs w:val="32"/>
    </w:rPr>
  </w:style>
  <w:style w:type="character" w:customStyle="1" w:styleId="27">
    <w:name w:val="页眉 Char"/>
    <w:basedOn w:val="23"/>
    <w:link w:val="14"/>
    <w:qFormat/>
    <w:uiPriority w:val="99"/>
    <w:rPr>
      <w:sz w:val="18"/>
      <w:szCs w:val="18"/>
    </w:rPr>
  </w:style>
  <w:style w:type="character" w:customStyle="1" w:styleId="28">
    <w:name w:val="页脚 Char"/>
    <w:basedOn w:val="23"/>
    <w:link w:val="13"/>
    <w:qFormat/>
    <w:uiPriority w:val="99"/>
    <w:rPr>
      <w:sz w:val="18"/>
      <w:szCs w:val="18"/>
    </w:rPr>
  </w:style>
  <w:style w:type="character" w:customStyle="1" w:styleId="29">
    <w:name w:val="批注框文本 Char"/>
    <w:basedOn w:val="23"/>
    <w:link w:val="12"/>
    <w:semiHidden/>
    <w:qFormat/>
    <w:uiPriority w:val="99"/>
    <w:rPr>
      <w:sz w:val="18"/>
      <w:szCs w:val="18"/>
    </w:rPr>
  </w:style>
  <w:style w:type="character" w:customStyle="1" w:styleId="30">
    <w:name w:val="标题 1 Char"/>
    <w:basedOn w:val="23"/>
    <w:qFormat/>
    <w:uiPriority w:val="9"/>
    <w:rPr>
      <w:rFonts w:ascii="方正小标宋简体" w:hAnsi="方正小标宋简体" w:eastAsia="方正小标宋简体"/>
      <w:bCs/>
      <w:kern w:val="44"/>
      <w:sz w:val="44"/>
      <w:szCs w:val="44"/>
    </w:rPr>
  </w:style>
  <w:style w:type="paragraph" w:customStyle="1" w:styleId="31">
    <w:name w:val="TOC 标题1"/>
    <w:basedOn w:val="2"/>
    <w:next w:val="1"/>
    <w:unhideWhenUsed/>
    <w:qFormat/>
    <w:uiPriority w:val="39"/>
    <w:pPr>
      <w:widowControl/>
      <w:spacing w:beforeLines="100" w:afterLines="100" w:line="300" w:lineRule="auto"/>
      <w:outlineLvl w:val="9"/>
    </w:pPr>
    <w:rPr>
      <w:rFonts w:asciiTheme="majorHAnsi" w:hAnsiTheme="majorHAnsi" w:eastAsiaTheme="majorEastAsia" w:cstheme="majorBidi"/>
      <w:color w:val="366091" w:themeColor="accent1" w:themeShade="BF"/>
      <w:kern w:val="0"/>
      <w:sz w:val="28"/>
      <w:szCs w:val="28"/>
    </w:rPr>
  </w:style>
  <w:style w:type="character" w:customStyle="1" w:styleId="32">
    <w:name w:val="标题 3 Char"/>
    <w:basedOn w:val="23"/>
    <w:link w:val="4"/>
    <w:qFormat/>
    <w:uiPriority w:val="9"/>
    <w:rPr>
      <w:rFonts w:ascii="仿宋_GB2312" w:eastAsia="仿宋_GB2312"/>
      <w:b/>
      <w:bCs/>
      <w:kern w:val="2"/>
      <w:sz w:val="32"/>
      <w:szCs w:val="32"/>
    </w:rPr>
  </w:style>
  <w:style w:type="character" w:customStyle="1" w:styleId="33">
    <w:name w:val="bjh-p"/>
    <w:basedOn w:val="23"/>
    <w:qFormat/>
    <w:uiPriority w:val="0"/>
  </w:style>
  <w:style w:type="paragraph" w:customStyle="1" w:styleId="34">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customStyle="1" w:styleId="35">
    <w:name w:val="题目"/>
    <w:basedOn w:val="1"/>
    <w:qFormat/>
    <w:uiPriority w:val="0"/>
    <w:pPr>
      <w:ind w:firstLine="200" w:firstLineChars="50"/>
      <w:jc w:val="center"/>
    </w:pPr>
    <w:rPr>
      <w:rFonts w:ascii="方正小标宋简体" w:hAnsi="黑体" w:eastAsia="方正小标宋简体" w:cs="Times New Roman"/>
      <w:sz w:val="40"/>
      <w:szCs w:val="36"/>
    </w:rPr>
  </w:style>
  <w:style w:type="paragraph" w:customStyle="1" w:styleId="36">
    <w:name w:val="公文一标"/>
    <w:basedOn w:val="2"/>
    <w:link w:val="37"/>
    <w:qFormat/>
    <w:uiPriority w:val="0"/>
    <w:pPr>
      <w:keepNext w:val="0"/>
      <w:keepLines w:val="0"/>
      <w:spacing w:line="550" w:lineRule="exact"/>
      <w:ind w:firstLine="640" w:firstLineChars="200"/>
      <w:jc w:val="both"/>
    </w:pPr>
    <w:rPr>
      <w:rFonts w:ascii="黑体" w:hAnsi="黑体" w:eastAsia="黑体" w:cs="Times New Roman"/>
      <w:bCs w:val="0"/>
      <w:sz w:val="32"/>
      <w:szCs w:val="32"/>
    </w:rPr>
  </w:style>
  <w:style w:type="character" w:customStyle="1" w:styleId="37">
    <w:name w:val="公文一标 Char"/>
    <w:basedOn w:val="30"/>
    <w:link w:val="36"/>
    <w:qFormat/>
    <w:uiPriority w:val="0"/>
    <w:rPr>
      <w:rFonts w:ascii="黑体" w:hAnsi="黑体" w:eastAsia="黑体" w:cs="Times New Roman"/>
      <w:bCs w:val="0"/>
      <w:kern w:val="44"/>
      <w:sz w:val="32"/>
      <w:szCs w:val="32"/>
    </w:rPr>
  </w:style>
  <w:style w:type="paragraph" w:customStyle="1" w:styleId="38">
    <w:name w:val="公文二标"/>
    <w:basedOn w:val="1"/>
    <w:link w:val="39"/>
    <w:qFormat/>
    <w:uiPriority w:val="0"/>
    <w:pPr>
      <w:adjustRightInd w:val="0"/>
      <w:snapToGrid w:val="0"/>
      <w:spacing w:line="550" w:lineRule="exact"/>
      <w:ind w:firstLine="643" w:firstLineChars="200"/>
      <w:outlineLvl w:val="1"/>
    </w:pPr>
    <w:rPr>
      <w:rFonts w:ascii="仿宋_GB2312" w:hAnsi="仿宋_GB2312" w:eastAsia="仿宋_GB2312" w:cs="仿宋_GB2312"/>
      <w:b/>
      <w:color w:val="000000"/>
      <w:sz w:val="32"/>
    </w:rPr>
  </w:style>
  <w:style w:type="character" w:customStyle="1" w:styleId="39">
    <w:name w:val="公文二标 Char"/>
    <w:basedOn w:val="23"/>
    <w:link w:val="38"/>
    <w:qFormat/>
    <w:uiPriority w:val="0"/>
    <w:rPr>
      <w:rFonts w:ascii="仿宋_GB2312" w:hAnsi="仿宋_GB2312" w:eastAsia="仿宋_GB2312" w:cs="仿宋_GB2312"/>
      <w:b/>
      <w:color w:val="000000"/>
      <w:kern w:val="2"/>
      <w:sz w:val="32"/>
      <w:szCs w:val="22"/>
    </w:rPr>
  </w:style>
  <w:style w:type="paragraph" w:customStyle="1" w:styleId="40">
    <w:name w:val="正文内容"/>
    <w:qFormat/>
    <w:uiPriority w:val="0"/>
    <w:pPr>
      <w:widowControl w:val="0"/>
      <w:adjustRightInd w:val="0"/>
      <w:snapToGrid w:val="0"/>
      <w:spacing w:line="600" w:lineRule="exact"/>
      <w:ind w:firstLine="200" w:firstLineChars="200"/>
      <w:jc w:val="both"/>
    </w:pPr>
    <w:rPr>
      <w:rFonts w:ascii="Times New Roman" w:hAnsi="Times New Roman" w:eastAsia="华文仿宋" w:cs="Times New Roman"/>
      <w:kern w:val="2"/>
      <w:sz w:val="36"/>
      <w:szCs w:val="28"/>
      <w:lang w:val="en-US" w:eastAsia="zh-CN" w:bidi="ar-SA"/>
    </w:rPr>
  </w:style>
  <w:style w:type="character" w:customStyle="1" w:styleId="41">
    <w:name w:val="日期 Char"/>
    <w:basedOn w:val="23"/>
    <w:link w:val="11"/>
    <w:semiHidden/>
    <w:qFormat/>
    <w:uiPriority w:val="99"/>
  </w:style>
  <w:style w:type="character" w:customStyle="1" w:styleId="42">
    <w:name w:val="标题 4 Char"/>
    <w:basedOn w:val="23"/>
    <w:link w:val="5"/>
    <w:qFormat/>
    <w:uiPriority w:val="9"/>
    <w:rPr>
      <w:rFonts w:ascii="黑体" w:hAnsi="黑体" w:eastAsia="黑体" w:cstheme="majorBidi"/>
      <w:bCs/>
      <w:kern w:val="2"/>
      <w:sz w:val="32"/>
      <w:szCs w:val="28"/>
    </w:rPr>
  </w:style>
  <w:style w:type="table" w:customStyle="1" w:styleId="43">
    <w:name w:val="Table Normal"/>
    <w:semiHidden/>
    <w:unhideWhenUsed/>
    <w:qFormat/>
    <w:uiPriority w:val="2"/>
    <w:pPr>
      <w:widowControl w:val="0"/>
      <w:autoSpaceDE w:val="0"/>
      <w:autoSpaceDN w:val="0"/>
    </w:pPr>
    <w:rPr>
      <w:rFonts w:ascii="Times New Roman" w:hAnsi="Times New Roman" w:eastAsia="宋体" w:cs="Times New Roman"/>
      <w:sz w:val="22"/>
      <w:lang w:eastAsia="en-US"/>
    </w:rPr>
    <w:tblPr>
      <w:tblCellMar>
        <w:top w:w="0" w:type="dxa"/>
        <w:left w:w="0" w:type="dxa"/>
        <w:bottom w:w="0" w:type="dxa"/>
        <w:right w:w="0" w:type="dxa"/>
      </w:tblCellMar>
    </w:tblPr>
  </w:style>
  <w:style w:type="character" w:customStyle="1" w:styleId="44">
    <w:name w:val="正文文本 Char"/>
    <w:basedOn w:val="23"/>
    <w:link w:val="7"/>
    <w:qFormat/>
    <w:uiPriority w:val="1"/>
    <w:rPr>
      <w:rFonts w:ascii="宋体" w:hAnsi="宋体" w:eastAsia="宋体" w:cs="宋体"/>
      <w:sz w:val="32"/>
      <w:szCs w:val="32"/>
      <w:lang w:eastAsia="en-US"/>
    </w:rPr>
  </w:style>
  <w:style w:type="paragraph" w:styleId="45">
    <w:name w:val="List Paragraph"/>
    <w:basedOn w:val="1"/>
    <w:qFormat/>
    <w:uiPriority w:val="34"/>
    <w:pPr>
      <w:ind w:firstLine="420" w:firstLineChars="200"/>
    </w:pPr>
  </w:style>
  <w:style w:type="character" w:customStyle="1" w:styleId="46">
    <w:name w:val="标题 1 Char1"/>
    <w:link w:val="2"/>
    <w:qFormat/>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E9EAC-3FE8-4CC4-8F0F-174E3811AFB0}">
  <ds:schemaRefs/>
</ds:datastoreItem>
</file>

<file path=docProps/app.xml><?xml version="1.0" encoding="utf-8"?>
<Properties xmlns="http://schemas.openxmlformats.org/officeDocument/2006/extended-properties" xmlns:vt="http://schemas.openxmlformats.org/officeDocument/2006/docPropsVTypes">
  <Template>Normal</Template>
  <Pages>7</Pages>
  <Words>646</Words>
  <Characters>3687</Characters>
  <Lines>30</Lines>
  <Paragraphs>8</Paragraphs>
  <TotalTime>0</TotalTime>
  <ScaleCrop>false</ScaleCrop>
  <LinksUpToDate>false</LinksUpToDate>
  <CharactersWithSpaces>4325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2024-06-17T00:22:00Z</dcterms:created>
  <dc:creator>李奇</dc:creator>
  <cp:lastModifiedBy>焦志伟</cp:lastModifiedBy>
  <cp:lastPrinted>2024-05-18T00:19:00Z</cp:lastPrinted>
  <dcterms:modified xsi:type="dcterms:W3CDTF">2024-06-25T05:49:17Z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E6C2800A25764AB4A29B2D96061FF120_13</vt:lpwstr>
  </property>
</Properties>
</file>