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356"/>
        <w:gridCol w:w="1647"/>
        <w:gridCol w:w="612"/>
        <w:gridCol w:w="1545"/>
        <w:gridCol w:w="1047"/>
        <w:gridCol w:w="1225"/>
        <w:gridCol w:w="1449"/>
        <w:gridCol w:w="2564"/>
        <w:gridCol w:w="1530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3544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-SA"/>
              </w:rPr>
              <w:t>阳山县人民法院2024年招聘劳动合同制司法辅助人员岗位表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岗位名称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学历要求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学位要求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本科层次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专业要求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大专层次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专业要求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年龄要求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其他要求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清远市阳山县人民法院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劳动合同制司法辅助人员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大专（非在职）及以上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18至35周岁（1989年9月2日至2006年9月2   日期间出生）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法律专业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优先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A54E3"/>
    <w:rsid w:val="3C8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2024-09-02T07:45:00Z</dcterms:created>
  <dc:creator>Administrator</dc:creator>
  <cp:lastModifiedBy>Administrator</cp:lastModifiedBy>
  <dcterms:modified xsi:type="dcterms:W3CDTF">2024-09-02T07:46:26Z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4B87D6B567C94AB8AE57063A46E7878D</vt:lpwstr>
  </property>
</Properties>
</file>