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01DD5">
      <w:pPr>
        <w:pStyle w:val="2"/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附件2：</w:t>
      </w:r>
    </w:p>
    <w:p w14:paraId="557E6744">
      <w:pPr>
        <w:pStyle w:val="4"/>
        <w:spacing w:line="578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554F501">
      <w:pPr>
        <w:pStyle w:val="2"/>
        <w:spacing w:line="578" w:lineRule="exac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郴州农商银行2024年</w:t>
      </w: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专业</w:t>
      </w:r>
      <w:r>
        <w:rPr>
          <w:rFonts w:hint="eastAsia" w:ascii="仿宋_GB2312" w:hAnsi="仿宋_GB2312" w:cs="仿宋_GB2312"/>
          <w:b/>
          <w:bCs/>
          <w:sz w:val="36"/>
          <w:szCs w:val="36"/>
        </w:rPr>
        <w:t>指导目录</w:t>
      </w:r>
    </w:p>
    <w:p w14:paraId="38CA8219">
      <w:pPr>
        <w:spacing w:line="578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4221D6B">
      <w:pPr>
        <w:spacing w:line="578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研究生学历</w:t>
      </w:r>
    </w:p>
    <w:p w14:paraId="0CBC2723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经济和管理学类：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经济学，经济思想史，经济史，西方经济学，世界经济，人口、资源与环境经济学，国民经济学，区域经济学，财政学，税收学，产业经济学，国际贸易学，劳动经济学，数量经济学，国防经济，税务硕士，国际商务硕士，应用统计硕士，资产评估硕士，数字经济硕士，金融学，保险学，金融工程，投资学，精算学，金融计量与金融工程，金融硕士，保险硕士，管理科学与工程，工程管理硕士，项目管理硕士，工业工程与管理硕士，会计学，企业管理（含：财务管理、市场营销、人力资源管理），技术经济及管理，生态经济与管理，工商管理硕士，会计硕士，旅游管理，旅游管理硕士，物流工程与管理硕士，审计硕士，农业经济管理，林业经济管理，金融服务与管理，产业经济与组织，食品经济与管理，农业科技组织与服务，农业管理硕士，农村发展硕士，行政管理，社会医学与卫生事业管理，教育经济与管理，社会保障，公共政策，公共安全与危机管理，土地资源管理，公共管理硕士，档案学。</w:t>
      </w:r>
    </w:p>
    <w:p w14:paraId="2999FC22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农学类：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物栽培学与耕作学，作物遗传育种，种子科学与技术，烟草学，作物信息学，草业科学与技术，果树学，蔬菜学，茶学，林木遗传育种，森林培育，森林保护学，森林经理学，园林植物与观赏园艺，药用植物资源工程，观赏园艺，园林植物应用与生态，环境景观与地域文化，风景园林硕士，林业硕士，农艺与种业硕士，植物营养学，植物病理学，农业昆虫与害虫防治，农药学，农业环境保护，农业资源与环境，土地资源学，资源利用与植物保护硕士。</w:t>
      </w:r>
    </w:p>
    <w:p w14:paraId="2DF12780">
      <w:pPr>
        <w:spacing w:line="578" w:lineRule="exact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计算机类：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计算机系统结构、计算机软件与理论、计算机应用技术、软件工程、计算机技术硕士、大数据技术与工程硕士、网络与信息安全硕士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A7ABE8E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法律类：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学理论，法律史，宪法学与行政法学，刑法学，民商法学(含：劳动法学，社会保障法学)，诉讼法学，经济法学，环境与资源保护法学，国际法学（含：国际公法，国际私法，国际经济法），法学，法律硕士，知识产权硕士。</w:t>
      </w:r>
    </w:p>
    <w:p w14:paraId="59052588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文史类：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文艺学，语言学及应用语言学，汉语言文字学，中国古典文献学，中国古代文学，中国现当代文学，比较文学与世界文学，新闻学，传播学，新闻与传播硕士，出版硕士。</w:t>
      </w:r>
    </w:p>
    <w:p w14:paraId="1DB2CA72">
      <w:pPr>
        <w:spacing w:line="578" w:lineRule="exact"/>
        <w:ind w:firstLine="643" w:firstLineChars="200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大学本科学历</w:t>
      </w:r>
    </w:p>
    <w:bookmarkEnd w:id="0"/>
    <w:p w14:paraId="583D68A4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经济和管理学类：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学，经济统计学，财政学，税收学，国际经济与贸易，贸易经济，国民经济管理，资源与环境经济学，商务经济学，能源经济，劳动经济学，经济工程，数字经济，国际税收，金融学，金融工程，保险学，投资学，金融数学，信用管理，经济与金融，精算学，互联网金融，金融科技，金融审计，管理科学，信息管理与信息系统，工程管理，房地产开发与管理，工程造价，保密管理，大数据管理与应用，工程审计，计算金融，工业工程，标准化工程，质量管理工程，工商管理，市场营销，会计学，财务管理，国际商务，人力资源管理，审计学，资产评估，物业管理，文化产业管理，体育经济与管理，财务会计教育，市场营销教育，零售业管理，电子商务，电子商务及法律，跨境电子商务，财务会计与审计，会计信息技术，国际会计，旅游管理，酒店管理，会展经济与管理，旅游管理与服务教育，物流管理，物流工程，采购管理，供应链管理，创业管理，农林经济管理，农村区域发展，土地资源管理，城市管理，医疗产品管理、养老服务管理。</w:t>
      </w:r>
    </w:p>
    <w:p w14:paraId="00ABDCDB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农学类：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学，园艺，植物科学与技术，种子科学与工程，设施农业科学与工程，茶学，烟草，应用生物科学，农艺教育，园艺教育，智慧农业，菌物科学与工程，农药化肥，草业科学，草坪科学与工程，生物农药科学与工程，生物育种科学，林学，园林，经济林，智慧林业。</w:t>
      </w:r>
    </w:p>
    <w:p w14:paraId="4B3C7F42">
      <w:pPr>
        <w:spacing w:line="578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计算机类: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计算机科学与技术、软件工程、网络工程、信息安全、空间信息与数字技术、电子与计算机工程、数据科学与大数据技术、网络空间安全、虚拟现实技术、区块链工程。</w:t>
      </w:r>
    </w:p>
    <w:p w14:paraId="61FF0C4F">
      <w:pPr>
        <w:spacing w:line="578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类: </w:t>
      </w:r>
      <w:r>
        <w:rPr>
          <w:rFonts w:hint="eastAsia" w:ascii="仿宋" w:hAnsi="仿宋" w:eastAsia="仿宋" w:cs="仿宋"/>
          <w:sz w:val="32"/>
          <w:szCs w:val="32"/>
        </w:rPr>
        <w:t>法学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知识产权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信用风险管理与法律防控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纪检监察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经济法学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法律。</w:t>
      </w:r>
    </w:p>
    <w:p w14:paraId="2D9A489D">
      <w:pPr>
        <w:spacing w:line="578" w:lineRule="exact"/>
        <w:ind w:firstLine="643" w:firstLineChars="200"/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文史类：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汉语言文学，汉语言，古典文献学，秘书学，应用语言学，中国语言与文化，中国语言文化，对外汉语，新闻学，广播电视学，广告学，编辑出版学，传播学，数字出版，网络与新媒体，国际新闻与传播。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F14F60-4872-4781-989F-28D58D4CF5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4A9B26-EE0F-4EB7-94DD-C90786325E5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982E8D59-7342-4AB3-9A44-BA0357D746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65AD0FA-D3CB-4F36-B1BB-1CCBBA1AE7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778F755-163A-4435-859D-12EB89922A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1ODkxNjY2MmRhNWJlYzc4OTE0ZTU0NmMyMjViNjIifQ=="/>
  </w:docVars>
  <w:rsids>
    <w:rsidRoot w:val="656264B7"/>
    <w:rsid w:val="0A0C0216"/>
    <w:rsid w:val="0E210315"/>
    <w:rsid w:val="2A0E6C21"/>
    <w:rsid w:val="3CC561A7"/>
    <w:rsid w:val="4C272359"/>
    <w:rsid w:val="656264B7"/>
    <w:rsid w:val="7A137870"/>
    <w:rsid w:val="7A797745"/>
    <w:rsid w:val="7BB1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方正仿宋_GB2312"/>
      <w:sz w:val="30"/>
      <w:szCs w:val="24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Plain Text"/>
    <w:basedOn w:val="1"/>
    <w:qFormat/>
    <w:uiPriority w:val="0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1663</Words>
  <Characters>1666</Characters>
  <Lines>0</Lines>
  <Paragraphs>0</Paragraphs>
  <TotalTime>7</TotalTime>
  <ScaleCrop>false</ScaleCrop>
  <LinksUpToDate>false</LinksUpToDate>
  <CharactersWithSpaces>1668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2023-12-19T07:01:00Z</dcterms:created>
  <dc:creator>棉花糖</dc:creator>
  <cp:lastModifiedBy>beryl</cp:lastModifiedBy>
  <dcterms:modified xsi:type="dcterms:W3CDTF">2024-07-29T05:05:49Z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04D3D65DDBEF4BBCA2FD0EE71D85F9D1</vt:lpwstr>
  </property>
</Properties>
</file>